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FD5C9" w14:textId="77777777" w:rsidR="0094315E" w:rsidRDefault="0094315E" w:rsidP="00303C74">
      <w:pPr>
        <w:spacing w:after="120"/>
        <w:ind w:right="-318"/>
        <w:rPr>
          <w:rFonts w:ascii="Georgia" w:eastAsia="Times New Roman" w:hAnsi="Georgia" w:cstheme="minorHAnsi"/>
          <w:sz w:val="48"/>
          <w:szCs w:val="48"/>
        </w:rPr>
      </w:pPr>
    </w:p>
    <w:p w14:paraId="30D8A915" w14:textId="50029D71" w:rsidR="00303C74" w:rsidRPr="0094315E" w:rsidRDefault="00303C74" w:rsidP="00303C74">
      <w:pPr>
        <w:spacing w:after="120"/>
        <w:ind w:right="-318"/>
        <w:rPr>
          <w:rFonts w:ascii="Georgia" w:hAnsi="Georgia" w:cs="Arial"/>
          <w:sz w:val="40"/>
          <w:szCs w:val="40"/>
        </w:rPr>
      </w:pPr>
      <w:r w:rsidRPr="0094315E">
        <w:rPr>
          <w:rFonts w:ascii="Georgia" w:hAnsi="Georgia" w:cs="Arial"/>
          <w:sz w:val="40"/>
          <w:szCs w:val="40"/>
        </w:rPr>
        <w:t xml:space="preserve">Rathbone </w:t>
      </w:r>
      <w:r w:rsidR="0094315E" w:rsidRPr="0094315E">
        <w:rPr>
          <w:rFonts w:ascii="Georgia" w:hAnsi="Georgia" w:cs="Arial"/>
          <w:sz w:val="40"/>
          <w:szCs w:val="40"/>
        </w:rPr>
        <w:t xml:space="preserve">SICAV </w:t>
      </w:r>
      <w:r w:rsidRPr="0094315E">
        <w:rPr>
          <w:rFonts w:ascii="Georgia" w:hAnsi="Georgia" w:cs="Arial"/>
          <w:sz w:val="40"/>
          <w:szCs w:val="40"/>
        </w:rPr>
        <w:t xml:space="preserve">Multi-Asset </w:t>
      </w:r>
      <w:r w:rsidR="005B1BC9" w:rsidRPr="0094315E">
        <w:rPr>
          <w:rFonts w:ascii="Georgia" w:hAnsi="Georgia" w:cs="Arial"/>
          <w:sz w:val="40"/>
          <w:szCs w:val="40"/>
        </w:rPr>
        <w:t xml:space="preserve">Total Return </w:t>
      </w:r>
      <w:r w:rsidRPr="0094315E">
        <w:rPr>
          <w:rFonts w:ascii="Georgia" w:hAnsi="Georgia" w:cs="Arial"/>
          <w:sz w:val="40"/>
          <w:szCs w:val="40"/>
        </w:rPr>
        <w:t>Portfolio</w:t>
      </w:r>
    </w:p>
    <w:p w14:paraId="02DB57A9" w14:textId="77777777" w:rsidR="00303C74" w:rsidRPr="0064010F" w:rsidRDefault="00303C74" w:rsidP="00303C74">
      <w:pPr>
        <w:spacing w:line="360" w:lineRule="auto"/>
        <w:rPr>
          <w:rFonts w:ascii="Georgia" w:hAnsi="Georgia" w:cs="Arial"/>
          <w:color w:val="786592"/>
          <w:sz w:val="36"/>
        </w:rPr>
      </w:pPr>
      <w:r w:rsidRPr="0064010F">
        <w:rPr>
          <w:rFonts w:ascii="Georgia" w:hAnsi="Georgia" w:cs="Arial"/>
          <w:color w:val="786592"/>
          <w:sz w:val="36"/>
        </w:rPr>
        <w:t xml:space="preserve">Update, </w:t>
      </w:r>
      <w:r w:rsidR="00BA6C7F">
        <w:rPr>
          <w:rFonts w:ascii="Georgia" w:hAnsi="Georgia" w:cs="Arial"/>
          <w:color w:val="786592"/>
          <w:sz w:val="36"/>
        </w:rPr>
        <w:t>February</w:t>
      </w:r>
      <w:r w:rsidR="00F2734C">
        <w:rPr>
          <w:rFonts w:ascii="Georgia" w:hAnsi="Georgia" w:cs="Arial"/>
          <w:color w:val="786592"/>
          <w:sz w:val="36"/>
        </w:rPr>
        <w:t xml:space="preserve"> 2020</w:t>
      </w:r>
    </w:p>
    <w:p w14:paraId="33BE9762" w14:textId="77777777" w:rsidR="00303C74" w:rsidRPr="00303C74" w:rsidRDefault="00303C74" w:rsidP="00303C74">
      <w:pPr>
        <w:spacing w:after="120" w:line="276" w:lineRule="auto"/>
        <w:ind w:right="317"/>
        <w:rPr>
          <w:rFonts w:ascii="Georgia" w:eastAsia="MS Mincho" w:hAnsi="Georgia" w:cs="Arial"/>
          <w:b/>
          <w:noProof/>
          <w:color w:val="8D817B"/>
          <w:lang w:val="en-US" w:eastAsia="en-US"/>
        </w:rPr>
      </w:pPr>
      <w:r w:rsidRPr="00303C74">
        <w:rPr>
          <w:rFonts w:ascii="Georgia" w:eastAsia="MS Mincho" w:hAnsi="Georgia" w:cs="Arial"/>
          <w:b/>
          <w:noProof/>
          <w:color w:val="8D817B"/>
          <w:lang w:val="en-US" w:eastAsia="en-US"/>
        </w:rPr>
        <w:t>Overview</w:t>
      </w:r>
    </w:p>
    <w:p w14:paraId="31C24BCB" w14:textId="4D5DF179" w:rsidR="00BA6C7F" w:rsidRPr="00C45D8D" w:rsidRDefault="00C45D8D" w:rsidP="00BA6C7F">
      <w:pPr>
        <w:spacing w:after="120" w:line="276" w:lineRule="auto"/>
        <w:ind w:right="317"/>
        <w:rPr>
          <w:rFonts w:ascii="Georgia" w:hAnsi="Georgia"/>
          <w:sz w:val="22"/>
          <w:szCs w:val="22"/>
        </w:rPr>
      </w:pPr>
      <w:r>
        <w:rPr>
          <w:rFonts w:ascii="Georgia" w:hAnsi="Georgia"/>
          <w:sz w:val="22"/>
          <w:szCs w:val="22"/>
        </w:rPr>
        <w:t>Global markets have had a terrible time recently</w:t>
      </w:r>
      <w:r w:rsidR="00930B10">
        <w:rPr>
          <w:rFonts w:ascii="Georgia" w:hAnsi="Georgia"/>
          <w:sz w:val="22"/>
          <w:szCs w:val="22"/>
        </w:rPr>
        <w:t xml:space="preserve"> as the severity of the impact of </w:t>
      </w:r>
      <w:r w:rsidR="00FD5A8A">
        <w:rPr>
          <w:rFonts w:ascii="Georgia" w:hAnsi="Georgia"/>
          <w:sz w:val="22"/>
          <w:szCs w:val="22"/>
        </w:rPr>
        <w:t xml:space="preserve">Covid-19 </w:t>
      </w:r>
      <w:r w:rsidR="00930B10">
        <w:rPr>
          <w:rFonts w:ascii="Georgia" w:hAnsi="Georgia"/>
          <w:sz w:val="22"/>
          <w:szCs w:val="22"/>
        </w:rPr>
        <w:t>on health as well as economi</w:t>
      </w:r>
      <w:r w:rsidR="00FD5A8A">
        <w:rPr>
          <w:rFonts w:ascii="Georgia" w:hAnsi="Georgia"/>
          <w:sz w:val="22"/>
          <w:szCs w:val="22"/>
        </w:rPr>
        <w:t>es</w:t>
      </w:r>
      <w:r w:rsidR="00930B10">
        <w:rPr>
          <w:rFonts w:ascii="Georgia" w:hAnsi="Georgia"/>
          <w:sz w:val="22"/>
          <w:szCs w:val="22"/>
        </w:rPr>
        <w:t xml:space="preserve"> became all too apparent</w:t>
      </w:r>
      <w:r>
        <w:rPr>
          <w:rFonts w:ascii="Georgia" w:hAnsi="Georgia"/>
          <w:sz w:val="22"/>
          <w:szCs w:val="22"/>
        </w:rPr>
        <w:t xml:space="preserve">. </w:t>
      </w:r>
      <w:r w:rsidR="00930B10">
        <w:rPr>
          <w:rFonts w:ascii="Georgia" w:hAnsi="Georgia"/>
          <w:sz w:val="22"/>
          <w:szCs w:val="22"/>
        </w:rPr>
        <w:t>M</w:t>
      </w:r>
      <w:r w:rsidR="00BA6C7F" w:rsidRPr="00C45D8D">
        <w:rPr>
          <w:rFonts w:ascii="Georgia" w:hAnsi="Georgia"/>
          <w:sz w:val="22"/>
          <w:szCs w:val="22"/>
        </w:rPr>
        <w:t>arkets are unlikely to base out until the number of cases in Europe and the US show signs of peaking, which could be three to four weeks away. Until then, fear and uncertainty</w:t>
      </w:r>
      <w:r w:rsidR="00930B10">
        <w:rPr>
          <w:rFonts w:ascii="Georgia" w:hAnsi="Georgia"/>
          <w:sz w:val="22"/>
          <w:szCs w:val="22"/>
        </w:rPr>
        <w:t xml:space="preserve"> are driving sentiment</w:t>
      </w:r>
      <w:r w:rsidR="00BA6C7F" w:rsidRPr="00C45D8D">
        <w:rPr>
          <w:rFonts w:ascii="Georgia" w:hAnsi="Georgia"/>
          <w:sz w:val="22"/>
          <w:szCs w:val="22"/>
        </w:rPr>
        <w:t xml:space="preserve">. We wanted to let you know how we are navigating our way through these turbulent times and remind you of the importance of looking beyond </w:t>
      </w:r>
      <w:r>
        <w:rPr>
          <w:rFonts w:ascii="Georgia" w:hAnsi="Georgia"/>
          <w:sz w:val="22"/>
          <w:szCs w:val="22"/>
        </w:rPr>
        <w:t xml:space="preserve">the </w:t>
      </w:r>
      <w:r w:rsidR="00BA6C7F" w:rsidRPr="00C45D8D">
        <w:rPr>
          <w:rFonts w:ascii="Georgia" w:hAnsi="Georgia"/>
          <w:sz w:val="22"/>
          <w:szCs w:val="22"/>
        </w:rPr>
        <w:t xml:space="preserve">short-term </w:t>
      </w:r>
      <w:r>
        <w:rPr>
          <w:rFonts w:ascii="Georgia" w:hAnsi="Georgia"/>
          <w:sz w:val="22"/>
          <w:szCs w:val="22"/>
        </w:rPr>
        <w:t>fears and concerns</w:t>
      </w:r>
      <w:r w:rsidR="00BA6C7F" w:rsidRPr="00C45D8D">
        <w:rPr>
          <w:rFonts w:ascii="Georgia" w:hAnsi="Georgia"/>
          <w:sz w:val="22"/>
          <w:szCs w:val="22"/>
        </w:rPr>
        <w:t xml:space="preserve">. </w:t>
      </w:r>
    </w:p>
    <w:p w14:paraId="05E27647" w14:textId="2910DA86" w:rsidR="00B03822" w:rsidRDefault="00C45D8D" w:rsidP="00BA6C7F">
      <w:pPr>
        <w:spacing w:after="120" w:line="276" w:lineRule="auto"/>
        <w:ind w:right="317"/>
        <w:rPr>
          <w:rFonts w:ascii="Georgia" w:hAnsi="Georgia"/>
          <w:sz w:val="22"/>
          <w:szCs w:val="22"/>
        </w:rPr>
      </w:pPr>
      <w:r>
        <w:rPr>
          <w:rFonts w:ascii="Georgia" w:hAnsi="Georgia"/>
          <w:sz w:val="22"/>
          <w:szCs w:val="22"/>
        </w:rPr>
        <w:t xml:space="preserve">The US dollar is the number-one harbour for global investors </w:t>
      </w:r>
      <w:r w:rsidR="00930B10">
        <w:rPr>
          <w:rFonts w:ascii="Georgia" w:hAnsi="Georgia"/>
          <w:sz w:val="22"/>
          <w:szCs w:val="22"/>
        </w:rPr>
        <w:t>during periods of market stress</w:t>
      </w:r>
      <w:r>
        <w:rPr>
          <w:rFonts w:ascii="Georgia" w:hAnsi="Georgia"/>
          <w:sz w:val="22"/>
          <w:szCs w:val="22"/>
        </w:rPr>
        <w:t xml:space="preserve">. That’s why it has </w:t>
      </w:r>
      <w:r w:rsidR="00930B10">
        <w:rPr>
          <w:rFonts w:ascii="Georgia" w:hAnsi="Georgia"/>
          <w:sz w:val="22"/>
          <w:szCs w:val="22"/>
        </w:rPr>
        <w:t xml:space="preserve">gained </w:t>
      </w:r>
      <w:r>
        <w:rPr>
          <w:rFonts w:ascii="Georgia" w:hAnsi="Georgia"/>
          <w:sz w:val="22"/>
          <w:szCs w:val="22"/>
        </w:rPr>
        <w:t xml:space="preserve">about 6% </w:t>
      </w:r>
      <w:r w:rsidR="00DD1DB5">
        <w:rPr>
          <w:rFonts w:ascii="Georgia" w:hAnsi="Georgia"/>
          <w:sz w:val="22"/>
          <w:szCs w:val="22"/>
        </w:rPr>
        <w:t xml:space="preserve">against </w:t>
      </w:r>
      <w:r w:rsidR="00BD0752">
        <w:rPr>
          <w:rFonts w:ascii="Georgia" w:hAnsi="Georgia"/>
          <w:sz w:val="22"/>
          <w:szCs w:val="22"/>
        </w:rPr>
        <w:t xml:space="preserve">a basket of major currencies </w:t>
      </w:r>
      <w:r>
        <w:rPr>
          <w:rFonts w:ascii="Georgia" w:hAnsi="Georgia"/>
          <w:sz w:val="22"/>
          <w:szCs w:val="22"/>
        </w:rPr>
        <w:t>between the beginning of the year and late-March.</w:t>
      </w:r>
      <w:r w:rsidR="00DD1DB5">
        <w:rPr>
          <w:rFonts w:ascii="Georgia" w:hAnsi="Georgia"/>
          <w:sz w:val="22"/>
          <w:szCs w:val="22"/>
        </w:rPr>
        <w:t xml:space="preserve"> Meanwhile, the pound </w:t>
      </w:r>
      <w:r w:rsidR="00B03822">
        <w:rPr>
          <w:rFonts w:ascii="Georgia" w:hAnsi="Georgia"/>
          <w:sz w:val="22"/>
          <w:szCs w:val="22"/>
        </w:rPr>
        <w:t xml:space="preserve">has gone in the other direction. It </w:t>
      </w:r>
      <w:r w:rsidR="00DD1DB5" w:rsidRPr="00DD1DB5">
        <w:rPr>
          <w:rFonts w:ascii="Georgia" w:hAnsi="Georgia"/>
          <w:sz w:val="22"/>
          <w:szCs w:val="22"/>
        </w:rPr>
        <w:t>has</w:t>
      </w:r>
      <w:r w:rsidR="00DD1DB5">
        <w:rPr>
          <w:rFonts w:ascii="Georgia" w:hAnsi="Georgia"/>
          <w:sz w:val="22"/>
          <w:szCs w:val="22"/>
        </w:rPr>
        <w:t xml:space="preserve"> </w:t>
      </w:r>
      <w:r w:rsidR="00DD1DB5" w:rsidRPr="00DD1DB5">
        <w:rPr>
          <w:rFonts w:ascii="Georgia" w:hAnsi="Georgia"/>
          <w:sz w:val="22"/>
          <w:szCs w:val="22"/>
        </w:rPr>
        <w:t>fallen about 10%</w:t>
      </w:r>
      <w:r w:rsidR="00DD1DB5">
        <w:rPr>
          <w:rFonts w:ascii="Georgia" w:hAnsi="Georgia"/>
          <w:sz w:val="22"/>
          <w:szCs w:val="22"/>
        </w:rPr>
        <w:t xml:space="preserve"> </w:t>
      </w:r>
      <w:r w:rsidR="00DD1DB5" w:rsidRPr="00DD1DB5">
        <w:rPr>
          <w:rFonts w:ascii="Georgia" w:hAnsi="Georgia"/>
          <w:sz w:val="22"/>
          <w:szCs w:val="22"/>
        </w:rPr>
        <w:t>against the dollar since the beginning of</w:t>
      </w:r>
      <w:r w:rsidR="00BD0752">
        <w:rPr>
          <w:rFonts w:ascii="Georgia" w:hAnsi="Georgia"/>
          <w:sz w:val="22"/>
          <w:szCs w:val="22"/>
        </w:rPr>
        <w:t xml:space="preserve"> March</w:t>
      </w:r>
      <w:r w:rsidR="00B03822">
        <w:rPr>
          <w:rFonts w:ascii="Georgia" w:hAnsi="Georgia"/>
          <w:sz w:val="22"/>
          <w:szCs w:val="22"/>
        </w:rPr>
        <w:t>, hurting small and mid-cap UK stock prices</w:t>
      </w:r>
      <w:r w:rsidR="00BD0752">
        <w:rPr>
          <w:rFonts w:ascii="Georgia" w:hAnsi="Georgia"/>
          <w:sz w:val="22"/>
          <w:szCs w:val="22"/>
        </w:rPr>
        <w:t>.</w:t>
      </w:r>
      <w:r w:rsidR="00B03822">
        <w:rPr>
          <w:rFonts w:ascii="Georgia" w:hAnsi="Georgia"/>
          <w:sz w:val="22"/>
          <w:szCs w:val="22"/>
        </w:rPr>
        <w:t xml:space="preserve"> That can partly be explained </w:t>
      </w:r>
      <w:r w:rsidR="00DD1DB5" w:rsidRPr="00DD1DB5">
        <w:rPr>
          <w:rFonts w:ascii="Georgia" w:hAnsi="Georgia"/>
          <w:sz w:val="22"/>
          <w:szCs w:val="22"/>
        </w:rPr>
        <w:t>by the pound being a ‘risk-on’</w:t>
      </w:r>
      <w:r w:rsidR="00B03822">
        <w:rPr>
          <w:rFonts w:ascii="Georgia" w:hAnsi="Georgia"/>
          <w:sz w:val="22"/>
          <w:szCs w:val="22"/>
        </w:rPr>
        <w:t xml:space="preserve"> </w:t>
      </w:r>
      <w:r w:rsidR="00DD1DB5" w:rsidRPr="00DD1DB5">
        <w:rPr>
          <w:rFonts w:ascii="Georgia" w:hAnsi="Georgia"/>
          <w:sz w:val="22"/>
          <w:szCs w:val="22"/>
        </w:rPr>
        <w:t>currency that tends to do well when the global economy</w:t>
      </w:r>
      <w:r w:rsidR="00B03822">
        <w:rPr>
          <w:rFonts w:ascii="Georgia" w:hAnsi="Georgia"/>
          <w:sz w:val="22"/>
          <w:szCs w:val="22"/>
        </w:rPr>
        <w:t xml:space="preserve"> </w:t>
      </w:r>
      <w:r w:rsidR="006F5BBF">
        <w:rPr>
          <w:rFonts w:ascii="Georgia" w:hAnsi="Georgia"/>
          <w:sz w:val="22"/>
          <w:szCs w:val="22"/>
        </w:rPr>
        <w:t>is improving and do</w:t>
      </w:r>
      <w:r w:rsidR="00DD1DB5" w:rsidRPr="00DD1DB5">
        <w:rPr>
          <w:rFonts w:ascii="Georgia" w:hAnsi="Georgia"/>
          <w:sz w:val="22"/>
          <w:szCs w:val="22"/>
        </w:rPr>
        <w:t xml:space="preserve"> terribly when it isn’t. </w:t>
      </w:r>
      <w:r w:rsidR="00B03822">
        <w:rPr>
          <w:rFonts w:ascii="Georgia" w:hAnsi="Georgia"/>
          <w:sz w:val="22"/>
          <w:szCs w:val="22"/>
        </w:rPr>
        <w:t>W</w:t>
      </w:r>
      <w:r w:rsidR="00BA6C7F" w:rsidRPr="00C45D8D">
        <w:rPr>
          <w:rFonts w:ascii="Georgia" w:hAnsi="Georgia"/>
          <w:sz w:val="22"/>
          <w:szCs w:val="22"/>
        </w:rPr>
        <w:t xml:space="preserve">e increased our exposure to the </w:t>
      </w:r>
      <w:r w:rsidR="00B03822">
        <w:rPr>
          <w:rFonts w:ascii="Georgia" w:hAnsi="Georgia"/>
          <w:sz w:val="22"/>
          <w:szCs w:val="22"/>
        </w:rPr>
        <w:t>dollar</w:t>
      </w:r>
      <w:r w:rsidR="00BA6C7F" w:rsidRPr="00C45D8D">
        <w:rPr>
          <w:rFonts w:ascii="Georgia" w:hAnsi="Georgia"/>
          <w:sz w:val="22"/>
          <w:szCs w:val="22"/>
        </w:rPr>
        <w:t xml:space="preserve"> by </w:t>
      </w:r>
      <w:r w:rsidR="00B03822">
        <w:rPr>
          <w:rFonts w:ascii="Georgia" w:hAnsi="Georgia"/>
          <w:sz w:val="22"/>
          <w:szCs w:val="22"/>
        </w:rPr>
        <w:t xml:space="preserve">unwinding more than </w:t>
      </w:r>
      <w:r w:rsidR="00BA6C7F" w:rsidRPr="00C45D8D">
        <w:rPr>
          <w:rFonts w:ascii="Georgia" w:hAnsi="Georgia"/>
          <w:sz w:val="22"/>
          <w:szCs w:val="22"/>
        </w:rPr>
        <w:t xml:space="preserve">half of our </w:t>
      </w:r>
      <w:r w:rsidR="00B03822">
        <w:rPr>
          <w:rFonts w:ascii="Georgia" w:hAnsi="Georgia"/>
          <w:sz w:val="22"/>
          <w:szCs w:val="22"/>
        </w:rPr>
        <w:t>currency hedges</w:t>
      </w:r>
      <w:r w:rsidR="00930B10">
        <w:rPr>
          <w:rFonts w:ascii="Georgia" w:hAnsi="Georgia"/>
          <w:sz w:val="22"/>
          <w:szCs w:val="22"/>
        </w:rPr>
        <w:t xml:space="preserve"> and added to US Treasuries</w:t>
      </w:r>
      <w:r w:rsidR="00B03822">
        <w:rPr>
          <w:rFonts w:ascii="Georgia" w:hAnsi="Georgia"/>
          <w:sz w:val="22"/>
          <w:szCs w:val="22"/>
        </w:rPr>
        <w:t xml:space="preserve">. </w:t>
      </w:r>
      <w:r w:rsidR="00BA6C7F" w:rsidRPr="00C45D8D">
        <w:rPr>
          <w:rFonts w:ascii="Georgia" w:hAnsi="Georgia"/>
          <w:sz w:val="22"/>
          <w:szCs w:val="22"/>
        </w:rPr>
        <w:t>We’re ready to put them back on again</w:t>
      </w:r>
      <w:r w:rsidR="00B03822">
        <w:rPr>
          <w:rFonts w:ascii="Georgia" w:hAnsi="Georgia"/>
          <w:sz w:val="22"/>
          <w:szCs w:val="22"/>
        </w:rPr>
        <w:t xml:space="preserve"> if the current momentum falls.</w:t>
      </w:r>
    </w:p>
    <w:p w14:paraId="5BE038DD" w14:textId="77777777" w:rsidR="00BA6C7F" w:rsidRPr="00B03822" w:rsidRDefault="00BA6C7F" w:rsidP="00BA6C7F">
      <w:pPr>
        <w:spacing w:after="120" w:line="276" w:lineRule="auto"/>
        <w:ind w:right="317"/>
        <w:rPr>
          <w:rFonts w:ascii="Georgia" w:hAnsi="Georgia"/>
          <w:sz w:val="22"/>
          <w:szCs w:val="22"/>
        </w:rPr>
      </w:pPr>
      <w:r w:rsidRPr="00B03822">
        <w:rPr>
          <w:rFonts w:ascii="Georgia" w:hAnsi="Georgia"/>
          <w:sz w:val="22"/>
          <w:szCs w:val="22"/>
        </w:rPr>
        <w:t xml:space="preserve">We are confident </w:t>
      </w:r>
      <w:r w:rsidR="00B03822">
        <w:rPr>
          <w:rFonts w:ascii="Georgia" w:hAnsi="Georgia"/>
          <w:sz w:val="22"/>
          <w:szCs w:val="22"/>
        </w:rPr>
        <w:t>that our portfolio is</w:t>
      </w:r>
      <w:r w:rsidR="00B03822" w:rsidRPr="00B03822">
        <w:rPr>
          <w:rFonts w:ascii="Georgia" w:hAnsi="Georgia"/>
          <w:sz w:val="22"/>
          <w:szCs w:val="22"/>
        </w:rPr>
        <w:t xml:space="preserve"> in </w:t>
      </w:r>
      <w:r w:rsidRPr="00B03822">
        <w:rPr>
          <w:rFonts w:ascii="Georgia" w:hAnsi="Georgia"/>
          <w:sz w:val="22"/>
          <w:szCs w:val="22"/>
        </w:rPr>
        <w:t>good shape</w:t>
      </w:r>
      <w:r w:rsidR="00B03822">
        <w:rPr>
          <w:rFonts w:ascii="Georgia" w:hAnsi="Georgia"/>
          <w:sz w:val="22"/>
          <w:szCs w:val="22"/>
        </w:rPr>
        <w:t>,</w:t>
      </w:r>
      <w:r w:rsidRPr="00B03822">
        <w:rPr>
          <w:rFonts w:ascii="Georgia" w:hAnsi="Georgia"/>
          <w:sz w:val="22"/>
          <w:szCs w:val="22"/>
        </w:rPr>
        <w:t xml:space="preserve"> </w:t>
      </w:r>
      <w:r w:rsidR="00B03822">
        <w:rPr>
          <w:rFonts w:ascii="Georgia" w:hAnsi="Georgia"/>
          <w:sz w:val="22"/>
          <w:szCs w:val="22"/>
        </w:rPr>
        <w:t xml:space="preserve">yet we have been </w:t>
      </w:r>
      <w:r w:rsidRPr="00B03822">
        <w:rPr>
          <w:rFonts w:ascii="Georgia" w:hAnsi="Georgia"/>
          <w:sz w:val="22"/>
          <w:szCs w:val="22"/>
        </w:rPr>
        <w:t>stress-test</w:t>
      </w:r>
      <w:r w:rsidR="00B03822">
        <w:rPr>
          <w:rFonts w:ascii="Georgia" w:hAnsi="Georgia"/>
          <w:sz w:val="22"/>
          <w:szCs w:val="22"/>
        </w:rPr>
        <w:t>ing</w:t>
      </w:r>
      <w:r w:rsidRPr="00B03822">
        <w:rPr>
          <w:rFonts w:ascii="Georgia" w:hAnsi="Georgia"/>
          <w:sz w:val="22"/>
          <w:szCs w:val="22"/>
        </w:rPr>
        <w:t xml:space="preserve"> every company we own by reviewing its balance sheet and debt levels; you can never be too prudent. With the exception of oil stocks, our companies tend to be</w:t>
      </w:r>
      <w:r w:rsidR="00B03822">
        <w:rPr>
          <w:rFonts w:ascii="Georgia" w:hAnsi="Georgia"/>
          <w:sz w:val="22"/>
          <w:szCs w:val="22"/>
        </w:rPr>
        <w:t xml:space="preserve"> asset light and have high free-</w:t>
      </w:r>
      <w:r w:rsidRPr="00B03822">
        <w:rPr>
          <w:rFonts w:ascii="Georgia" w:hAnsi="Georgia"/>
          <w:sz w:val="22"/>
          <w:szCs w:val="22"/>
        </w:rPr>
        <w:t>cash</w:t>
      </w:r>
      <w:r w:rsidR="00B03822">
        <w:rPr>
          <w:rFonts w:ascii="Georgia" w:hAnsi="Georgia"/>
          <w:sz w:val="22"/>
          <w:szCs w:val="22"/>
        </w:rPr>
        <w:t>-</w:t>
      </w:r>
      <w:r w:rsidRPr="00B03822">
        <w:rPr>
          <w:rFonts w:ascii="Georgia" w:hAnsi="Georgia"/>
          <w:sz w:val="22"/>
          <w:szCs w:val="22"/>
        </w:rPr>
        <w:t>flow yields, which basically means they’re generating enough cash to cover their costs. We also look for low debt to earnings before interest, tax, depreciation and amortization (EBITDA); we don’t want businesses with more debt than they can afford. Our hedging strategy is under review and while sterling looks undervalued, we may see more weakness in the near term. Currency management is nigh</w:t>
      </w:r>
      <w:r w:rsidR="00B03822">
        <w:rPr>
          <w:rFonts w:ascii="Georgia" w:hAnsi="Georgia"/>
          <w:sz w:val="22"/>
          <w:szCs w:val="22"/>
        </w:rPr>
        <w:t xml:space="preserve"> on</w:t>
      </w:r>
      <w:r w:rsidRPr="00B03822">
        <w:rPr>
          <w:rFonts w:ascii="Georgia" w:hAnsi="Georgia"/>
          <w:sz w:val="22"/>
          <w:szCs w:val="22"/>
        </w:rPr>
        <w:t xml:space="preserve"> impossible, so our priority is to ensure we have sufficient risk-off protection. </w:t>
      </w:r>
    </w:p>
    <w:p w14:paraId="43F26388" w14:textId="77777777" w:rsidR="00B03822" w:rsidRPr="00B03822" w:rsidRDefault="00B03822" w:rsidP="00B03822">
      <w:pPr>
        <w:spacing w:after="120" w:line="276" w:lineRule="auto"/>
        <w:ind w:right="317"/>
        <w:rPr>
          <w:rFonts w:ascii="Georgia" w:hAnsi="Georgia"/>
          <w:sz w:val="22"/>
          <w:szCs w:val="22"/>
        </w:rPr>
      </w:pPr>
      <w:r w:rsidRPr="00B03822">
        <w:rPr>
          <w:rFonts w:ascii="Georgia" w:hAnsi="Georgia"/>
          <w:sz w:val="22"/>
          <w:szCs w:val="22"/>
        </w:rPr>
        <w:t>Some of you are asking what we do and don’t own, given how much the pandemic will weigh on some businesses and present opportunities to others. Rest assured we own no travel agents, gambling firms, restau</w:t>
      </w:r>
      <w:r w:rsidR="00BB1872">
        <w:rPr>
          <w:rFonts w:ascii="Georgia" w:hAnsi="Georgia"/>
          <w:sz w:val="22"/>
          <w:szCs w:val="22"/>
        </w:rPr>
        <w:t xml:space="preserve">rants, pubs, hotels or airlines. There are </w:t>
      </w:r>
      <w:r w:rsidRPr="00B03822">
        <w:rPr>
          <w:rFonts w:ascii="Georgia" w:hAnsi="Georgia"/>
          <w:sz w:val="22"/>
          <w:szCs w:val="22"/>
        </w:rPr>
        <w:t>no general retailers</w:t>
      </w:r>
      <w:r w:rsidR="00BB1872">
        <w:rPr>
          <w:rFonts w:ascii="Georgia" w:hAnsi="Georgia"/>
          <w:sz w:val="22"/>
          <w:szCs w:val="22"/>
        </w:rPr>
        <w:t xml:space="preserve"> either</w:t>
      </w:r>
      <w:r w:rsidRPr="00B03822">
        <w:rPr>
          <w:rFonts w:ascii="Georgia" w:hAnsi="Georgia"/>
          <w:sz w:val="22"/>
          <w:szCs w:val="22"/>
        </w:rPr>
        <w:t xml:space="preserve">. </w:t>
      </w:r>
      <w:r w:rsidR="00BB1872">
        <w:rPr>
          <w:rFonts w:ascii="Georgia" w:hAnsi="Georgia"/>
          <w:sz w:val="22"/>
          <w:szCs w:val="22"/>
        </w:rPr>
        <w:t xml:space="preserve">There are some </w:t>
      </w:r>
      <w:r w:rsidRPr="00B03822">
        <w:rPr>
          <w:rFonts w:ascii="Georgia" w:hAnsi="Georgia"/>
          <w:sz w:val="22"/>
          <w:szCs w:val="22"/>
        </w:rPr>
        <w:t xml:space="preserve">big falls </w:t>
      </w:r>
      <w:r w:rsidR="00BB1872">
        <w:rPr>
          <w:rFonts w:ascii="Georgia" w:hAnsi="Georgia"/>
          <w:sz w:val="22"/>
          <w:szCs w:val="22"/>
        </w:rPr>
        <w:t xml:space="preserve">happening </w:t>
      </w:r>
      <w:r w:rsidRPr="00B03822">
        <w:rPr>
          <w:rFonts w:ascii="Georgia" w:hAnsi="Georgia"/>
          <w:sz w:val="22"/>
          <w:szCs w:val="22"/>
        </w:rPr>
        <w:t>in illiquid alternative income assets,</w:t>
      </w:r>
      <w:r w:rsidR="00BB1872">
        <w:rPr>
          <w:rFonts w:ascii="Georgia" w:hAnsi="Georgia"/>
          <w:sz w:val="22"/>
          <w:szCs w:val="22"/>
        </w:rPr>
        <w:t xml:space="preserve"> such as aircraft leasing,</w:t>
      </w:r>
      <w:r w:rsidRPr="00B03822">
        <w:rPr>
          <w:rFonts w:ascii="Georgia" w:hAnsi="Georgia"/>
          <w:sz w:val="22"/>
          <w:szCs w:val="22"/>
        </w:rPr>
        <w:t xml:space="preserve"> and I can reassure you </w:t>
      </w:r>
      <w:r w:rsidR="00BB1872">
        <w:rPr>
          <w:rFonts w:ascii="Georgia" w:hAnsi="Georgia"/>
          <w:sz w:val="22"/>
          <w:szCs w:val="22"/>
        </w:rPr>
        <w:t>that we have virtually zero exposure here</w:t>
      </w:r>
      <w:r w:rsidRPr="00B03822">
        <w:rPr>
          <w:rFonts w:ascii="Georgia" w:hAnsi="Georgia"/>
          <w:sz w:val="22"/>
          <w:szCs w:val="22"/>
        </w:rPr>
        <w:t xml:space="preserve">. We have no commercial property </w:t>
      </w:r>
      <w:r w:rsidR="00BB1872">
        <w:rPr>
          <w:rFonts w:ascii="Georgia" w:hAnsi="Georgia"/>
          <w:sz w:val="22"/>
          <w:szCs w:val="22"/>
        </w:rPr>
        <w:t>either. And in fixed income</w:t>
      </w:r>
      <w:r w:rsidRPr="00B03822">
        <w:rPr>
          <w:rFonts w:ascii="Georgia" w:hAnsi="Georgia"/>
          <w:sz w:val="22"/>
          <w:szCs w:val="22"/>
        </w:rPr>
        <w:t xml:space="preserve"> we have almost no high yield bonds and very little investment grade.</w:t>
      </w:r>
      <w:r w:rsidR="00883120" w:rsidRPr="00883120">
        <w:rPr>
          <w:rFonts w:ascii="Georgia" w:hAnsi="Georgia"/>
          <w:sz w:val="22"/>
          <w:szCs w:val="22"/>
        </w:rPr>
        <w:t xml:space="preserve"> </w:t>
      </w:r>
      <w:r w:rsidR="00883120" w:rsidRPr="00B03822">
        <w:rPr>
          <w:rFonts w:ascii="Georgia" w:hAnsi="Georgia"/>
          <w:sz w:val="22"/>
          <w:szCs w:val="22"/>
        </w:rPr>
        <w:t xml:space="preserve">We are confident in the </w:t>
      </w:r>
      <w:r w:rsidR="00883120">
        <w:rPr>
          <w:rFonts w:ascii="Georgia" w:hAnsi="Georgia"/>
          <w:sz w:val="22"/>
          <w:szCs w:val="22"/>
        </w:rPr>
        <w:t>bonds that</w:t>
      </w:r>
      <w:r w:rsidR="00883120" w:rsidRPr="00B03822">
        <w:rPr>
          <w:rFonts w:ascii="Georgia" w:hAnsi="Georgia"/>
          <w:sz w:val="22"/>
          <w:szCs w:val="22"/>
        </w:rPr>
        <w:t xml:space="preserve"> we do own</w:t>
      </w:r>
      <w:r w:rsidR="00883120">
        <w:rPr>
          <w:rFonts w:ascii="Georgia" w:hAnsi="Georgia"/>
          <w:sz w:val="22"/>
          <w:szCs w:val="22"/>
        </w:rPr>
        <w:t xml:space="preserve"> – held </w:t>
      </w:r>
      <w:r w:rsidR="00883120" w:rsidRPr="00B03822">
        <w:rPr>
          <w:rFonts w:ascii="Georgia" w:hAnsi="Georgia"/>
          <w:sz w:val="22"/>
          <w:szCs w:val="22"/>
        </w:rPr>
        <w:t>for the secure income stream</w:t>
      </w:r>
      <w:r w:rsidR="00883120">
        <w:rPr>
          <w:rFonts w:ascii="Georgia" w:hAnsi="Georgia"/>
          <w:sz w:val="22"/>
          <w:szCs w:val="22"/>
        </w:rPr>
        <w:t>s they offer</w:t>
      </w:r>
      <w:r w:rsidR="00883120" w:rsidRPr="00B03822">
        <w:rPr>
          <w:rFonts w:ascii="Georgia" w:hAnsi="Georgia"/>
          <w:sz w:val="22"/>
          <w:szCs w:val="22"/>
        </w:rPr>
        <w:t xml:space="preserve">. Importantly, they form part of </w:t>
      </w:r>
      <w:r w:rsidR="005B1818">
        <w:rPr>
          <w:rFonts w:ascii="Georgia" w:hAnsi="Georgia"/>
          <w:sz w:val="22"/>
          <w:szCs w:val="22"/>
        </w:rPr>
        <w:t>our</w:t>
      </w:r>
      <w:r w:rsidR="00883120" w:rsidRPr="00B03822">
        <w:rPr>
          <w:rFonts w:ascii="Georgia" w:hAnsi="Georgia"/>
          <w:sz w:val="22"/>
          <w:szCs w:val="22"/>
        </w:rPr>
        <w:t xml:space="preserve"> </w:t>
      </w:r>
      <w:r w:rsidR="005B1818">
        <w:rPr>
          <w:rFonts w:ascii="Georgia" w:hAnsi="Georgia"/>
          <w:sz w:val="22"/>
          <w:szCs w:val="22"/>
        </w:rPr>
        <w:t>‘equity-</w:t>
      </w:r>
      <w:r w:rsidR="00883120" w:rsidRPr="00B03822">
        <w:rPr>
          <w:rFonts w:ascii="Georgia" w:hAnsi="Georgia"/>
          <w:sz w:val="22"/>
          <w:szCs w:val="22"/>
        </w:rPr>
        <w:t>risk</w:t>
      </w:r>
      <w:r w:rsidR="005B1818">
        <w:rPr>
          <w:rFonts w:ascii="Georgia" w:hAnsi="Georgia"/>
          <w:sz w:val="22"/>
          <w:szCs w:val="22"/>
        </w:rPr>
        <w:t>’ bucket, as we kne</w:t>
      </w:r>
      <w:r w:rsidR="00883120" w:rsidRPr="00B03822">
        <w:rPr>
          <w:rFonts w:ascii="Georgia" w:hAnsi="Georgia"/>
          <w:sz w:val="22"/>
          <w:szCs w:val="22"/>
        </w:rPr>
        <w:t xml:space="preserve">w liquidity </w:t>
      </w:r>
      <w:r w:rsidR="005B1818">
        <w:rPr>
          <w:rFonts w:ascii="Georgia" w:hAnsi="Georgia"/>
          <w:sz w:val="22"/>
          <w:szCs w:val="22"/>
        </w:rPr>
        <w:t xml:space="preserve">is much </w:t>
      </w:r>
      <w:r w:rsidR="00883120" w:rsidRPr="00B03822">
        <w:rPr>
          <w:rFonts w:ascii="Georgia" w:hAnsi="Georgia"/>
          <w:sz w:val="22"/>
          <w:szCs w:val="22"/>
        </w:rPr>
        <w:t>more challenging when markets are stressed.</w:t>
      </w:r>
      <w:r w:rsidRPr="00B03822">
        <w:rPr>
          <w:rFonts w:ascii="Georgia" w:hAnsi="Georgia"/>
          <w:sz w:val="22"/>
          <w:szCs w:val="22"/>
        </w:rPr>
        <w:t xml:space="preserve"> </w:t>
      </w:r>
      <w:r w:rsidR="005B1818">
        <w:rPr>
          <w:rFonts w:ascii="Georgia" w:hAnsi="Georgia"/>
          <w:sz w:val="22"/>
          <w:szCs w:val="22"/>
        </w:rPr>
        <w:t>Predominantly, our bonds are</w:t>
      </w:r>
      <w:r w:rsidR="00BB1872">
        <w:rPr>
          <w:rFonts w:ascii="Georgia" w:hAnsi="Georgia"/>
          <w:sz w:val="22"/>
          <w:szCs w:val="22"/>
        </w:rPr>
        <w:t xml:space="preserve"> government debt </w:t>
      </w:r>
      <w:r w:rsidR="005B1818">
        <w:rPr>
          <w:rFonts w:ascii="Georgia" w:hAnsi="Georgia"/>
          <w:sz w:val="22"/>
          <w:szCs w:val="22"/>
        </w:rPr>
        <w:t xml:space="preserve">that is </w:t>
      </w:r>
      <w:r w:rsidR="00BB1872">
        <w:rPr>
          <w:rFonts w:ascii="Georgia" w:hAnsi="Georgia"/>
          <w:sz w:val="22"/>
          <w:szCs w:val="22"/>
        </w:rPr>
        <w:t xml:space="preserve">held in our liquidity bucket. </w:t>
      </w:r>
    </w:p>
    <w:p w14:paraId="44E12BCD" w14:textId="77777777" w:rsidR="00B06257" w:rsidRPr="00B06257" w:rsidRDefault="0047338C" w:rsidP="00B06257">
      <w:pPr>
        <w:spacing w:after="120" w:line="276" w:lineRule="auto"/>
        <w:ind w:right="317"/>
        <w:rPr>
          <w:rFonts w:ascii="Georgia" w:hAnsi="Georgia"/>
          <w:sz w:val="22"/>
          <w:szCs w:val="22"/>
        </w:rPr>
      </w:pPr>
      <w:r>
        <w:rPr>
          <w:rFonts w:ascii="Georgia" w:hAnsi="Georgia"/>
          <w:sz w:val="22"/>
          <w:szCs w:val="22"/>
        </w:rPr>
        <w:t xml:space="preserve">We have a strategy that we are sticking to through these difficult markets. </w:t>
      </w:r>
    </w:p>
    <w:p w14:paraId="0D5A37AF" w14:textId="77777777" w:rsidR="00B06257" w:rsidRDefault="00B06257" w:rsidP="00B06257">
      <w:pPr>
        <w:spacing w:after="120" w:line="276" w:lineRule="auto"/>
        <w:ind w:right="317"/>
        <w:rPr>
          <w:rFonts w:ascii="Georgia" w:hAnsi="Georgia"/>
          <w:sz w:val="22"/>
          <w:szCs w:val="22"/>
        </w:rPr>
      </w:pPr>
      <w:r w:rsidRPr="00B06257">
        <w:rPr>
          <w:rFonts w:ascii="Georgia" w:hAnsi="Georgia"/>
          <w:sz w:val="22"/>
          <w:szCs w:val="22"/>
        </w:rPr>
        <w:t>Our three-phase plan for our funds is:</w:t>
      </w:r>
    </w:p>
    <w:p w14:paraId="5916F0BE" w14:textId="067774FC" w:rsidR="00B06257" w:rsidRPr="00CF6AE1" w:rsidRDefault="00B06257" w:rsidP="00B06257">
      <w:pPr>
        <w:pStyle w:val="ListParagraph"/>
        <w:numPr>
          <w:ilvl w:val="0"/>
          <w:numId w:val="8"/>
        </w:numPr>
        <w:rPr>
          <w:rFonts w:ascii="Georgia" w:hAnsi="Georgia"/>
          <w:sz w:val="22"/>
          <w:szCs w:val="22"/>
        </w:rPr>
      </w:pPr>
      <w:r w:rsidRPr="00CF6AE1">
        <w:rPr>
          <w:rFonts w:ascii="Georgia" w:hAnsi="Georgia"/>
          <w:b/>
          <w:sz w:val="22"/>
          <w:szCs w:val="22"/>
        </w:rPr>
        <w:t>Rebalance our portfolios.</w:t>
      </w:r>
      <w:r w:rsidRPr="00CF6AE1">
        <w:rPr>
          <w:rFonts w:ascii="Georgia" w:hAnsi="Georgia"/>
          <w:sz w:val="22"/>
          <w:szCs w:val="22"/>
        </w:rPr>
        <w:t xml:space="preserve"> That means we have been buying those assets that fall in value so they return to the proportion of our portfolio that we target. A simplistic way to think of this is to imagine you had a portfolio of 50% shares and 50% cash. Say the stock market falls 10%, your stocks now make up just 47% of your portfolio. Rebalancing would involve using some of that cash to buy equities to bring the portfolio back to 50/50</w:t>
      </w:r>
      <w:r w:rsidR="00A7735D">
        <w:rPr>
          <w:rFonts w:ascii="Georgia" w:hAnsi="Georgia"/>
          <w:sz w:val="22"/>
          <w:szCs w:val="22"/>
        </w:rPr>
        <w:t>.</w:t>
      </w:r>
    </w:p>
    <w:p w14:paraId="601E7D64" w14:textId="77777777" w:rsidR="00B06257" w:rsidRDefault="00B06257" w:rsidP="00B06257">
      <w:pPr>
        <w:pStyle w:val="ListParagraph"/>
        <w:numPr>
          <w:ilvl w:val="0"/>
          <w:numId w:val="8"/>
        </w:numPr>
        <w:spacing w:after="120" w:line="276" w:lineRule="auto"/>
        <w:ind w:right="317"/>
        <w:rPr>
          <w:rFonts w:ascii="Georgia" w:hAnsi="Georgia"/>
          <w:sz w:val="22"/>
          <w:szCs w:val="22"/>
        </w:rPr>
      </w:pPr>
      <w:r w:rsidRPr="00B06257">
        <w:rPr>
          <w:rFonts w:ascii="Georgia" w:hAnsi="Georgia"/>
          <w:b/>
          <w:sz w:val="22"/>
          <w:szCs w:val="22"/>
        </w:rPr>
        <w:t>Add ‘net’ to our equities.</w:t>
      </w:r>
      <w:r w:rsidRPr="00B06257">
        <w:rPr>
          <w:rFonts w:ascii="Georgia" w:hAnsi="Georgia"/>
          <w:sz w:val="22"/>
          <w:szCs w:val="22"/>
        </w:rPr>
        <w:t xml:space="preserve"> Using our previous example, that means going further and actually increasing the percentage of equities in our funds. Executing this phase is slightly </w:t>
      </w:r>
      <w:r w:rsidRPr="00B06257">
        <w:rPr>
          <w:rFonts w:ascii="Georgia" w:hAnsi="Georgia"/>
          <w:sz w:val="22"/>
          <w:szCs w:val="22"/>
        </w:rPr>
        <w:lastRenderedPageBreak/>
        <w:t>different. We are now focusing on supplementing our directly owned shares by also buying trackers, principally of the S&amp;P 500 Index but also the FTSE 100 Index.</w:t>
      </w:r>
    </w:p>
    <w:p w14:paraId="0CBD5367" w14:textId="22870546" w:rsidR="00CF6AE1" w:rsidRPr="00CF6AE1" w:rsidRDefault="00CF6AE1" w:rsidP="00B06257">
      <w:pPr>
        <w:pStyle w:val="ListParagraph"/>
        <w:numPr>
          <w:ilvl w:val="0"/>
          <w:numId w:val="8"/>
        </w:numPr>
        <w:spacing w:after="120" w:line="276" w:lineRule="auto"/>
        <w:ind w:right="317"/>
        <w:rPr>
          <w:rFonts w:ascii="Georgia" w:hAnsi="Georgia"/>
          <w:sz w:val="22"/>
          <w:szCs w:val="22"/>
        </w:rPr>
      </w:pPr>
      <w:r w:rsidRPr="00CF6AE1">
        <w:rPr>
          <w:rFonts w:ascii="Georgia" w:hAnsi="Georgia"/>
          <w:b/>
          <w:sz w:val="22"/>
          <w:szCs w:val="22"/>
        </w:rPr>
        <w:t>Shift</w:t>
      </w:r>
      <w:r>
        <w:rPr>
          <w:rFonts w:ascii="Georgia" w:hAnsi="Georgia"/>
          <w:sz w:val="22"/>
          <w:szCs w:val="22"/>
        </w:rPr>
        <w:t xml:space="preserve"> </w:t>
      </w:r>
      <w:r w:rsidRPr="00CF6AE1">
        <w:rPr>
          <w:rFonts w:ascii="Georgia" w:hAnsi="Georgia"/>
          <w:b/>
          <w:sz w:val="22"/>
          <w:szCs w:val="22"/>
        </w:rPr>
        <w:t>focus to cyclical and smaller-companies.</w:t>
      </w:r>
      <w:r>
        <w:rPr>
          <w:rFonts w:ascii="Georgia" w:hAnsi="Georgia"/>
          <w:b/>
          <w:sz w:val="22"/>
          <w:szCs w:val="22"/>
        </w:rPr>
        <w:t xml:space="preserve"> </w:t>
      </w:r>
      <w:r>
        <w:rPr>
          <w:rFonts w:ascii="Georgia" w:hAnsi="Georgia"/>
          <w:sz w:val="22"/>
          <w:szCs w:val="22"/>
        </w:rPr>
        <w:t xml:space="preserve">After the second or third leg of market falls, we will start to increase our exposure to </w:t>
      </w:r>
      <w:r w:rsidR="00E54AF2">
        <w:rPr>
          <w:rFonts w:ascii="Georgia" w:hAnsi="Georgia"/>
          <w:sz w:val="22"/>
          <w:szCs w:val="22"/>
        </w:rPr>
        <w:t xml:space="preserve">companies that we own in </w:t>
      </w:r>
      <w:r>
        <w:rPr>
          <w:rFonts w:ascii="Georgia" w:hAnsi="Georgia"/>
          <w:sz w:val="22"/>
          <w:szCs w:val="22"/>
        </w:rPr>
        <w:t xml:space="preserve">parts of the economy that should benefit most from a recovery in economic growth. </w:t>
      </w:r>
    </w:p>
    <w:p w14:paraId="56354360" w14:textId="77777777" w:rsidR="00297EB6" w:rsidRPr="009F4C18" w:rsidRDefault="009F4C18" w:rsidP="00BA6C7F">
      <w:pPr>
        <w:spacing w:after="120" w:line="276" w:lineRule="auto"/>
        <w:ind w:right="317"/>
        <w:rPr>
          <w:rFonts w:ascii="Georgia" w:hAnsi="Georgia"/>
          <w:sz w:val="22"/>
          <w:szCs w:val="22"/>
        </w:rPr>
      </w:pPr>
      <w:r>
        <w:rPr>
          <w:rFonts w:ascii="Georgia" w:hAnsi="Georgia"/>
          <w:sz w:val="22"/>
          <w:szCs w:val="22"/>
        </w:rPr>
        <w:t xml:space="preserve">This plan involves a lot of buying. </w:t>
      </w:r>
      <w:r w:rsidR="00CF6AE1" w:rsidRPr="00CF6AE1">
        <w:rPr>
          <w:rFonts w:ascii="Georgia" w:hAnsi="Georgia"/>
          <w:sz w:val="22"/>
          <w:szCs w:val="22"/>
        </w:rPr>
        <w:t xml:space="preserve">It always feels uncomfortable </w:t>
      </w:r>
      <w:r>
        <w:rPr>
          <w:rFonts w:ascii="Georgia" w:hAnsi="Georgia"/>
          <w:sz w:val="22"/>
          <w:szCs w:val="22"/>
        </w:rPr>
        <w:t>pulling the trigger</w:t>
      </w:r>
      <w:r w:rsidR="00CF6AE1" w:rsidRPr="00CF6AE1">
        <w:rPr>
          <w:rFonts w:ascii="Georgia" w:hAnsi="Georgia"/>
          <w:sz w:val="22"/>
          <w:szCs w:val="22"/>
        </w:rPr>
        <w:t xml:space="preserve"> at times like this, but we must remain disciplined. We buy companies with a five to 10-year view. We are very confident that we are adding to world-class businesses that will produce excellent returns if we are patient.</w:t>
      </w:r>
      <w:r w:rsidR="00872024">
        <w:rPr>
          <w:rFonts w:ascii="Georgia" w:hAnsi="Georgia"/>
          <w:sz w:val="22"/>
          <w:szCs w:val="22"/>
        </w:rPr>
        <w:t xml:space="preserve"> That’s the plan and we intend to stick to it.</w:t>
      </w:r>
    </w:p>
    <w:p w14:paraId="5466931D" w14:textId="77777777" w:rsidR="00C57AD7" w:rsidRPr="00C57AD7" w:rsidRDefault="00C57AD7" w:rsidP="00F2734C">
      <w:pPr>
        <w:spacing w:after="120" w:line="276" w:lineRule="auto"/>
        <w:ind w:right="317"/>
        <w:rPr>
          <w:rFonts w:ascii="Georgia" w:hAnsi="Georgia"/>
          <w:b/>
          <w:sz w:val="22"/>
          <w:szCs w:val="22"/>
        </w:rPr>
      </w:pPr>
      <w:r w:rsidRPr="00C57AD7">
        <w:rPr>
          <w:rFonts w:ascii="Georgia" w:eastAsia="MS Mincho" w:hAnsi="Georgia" w:cs="Arial"/>
          <w:b/>
          <w:noProof/>
          <w:color w:val="8D817B"/>
          <w:lang w:val="en-US" w:eastAsia="en-US"/>
        </w:rPr>
        <w:t>T</w:t>
      </w:r>
      <w:r>
        <w:rPr>
          <w:rFonts w:ascii="Georgia" w:eastAsia="MS Mincho" w:hAnsi="Georgia" w:cs="Arial"/>
          <w:b/>
          <w:noProof/>
          <w:color w:val="8D817B"/>
          <w:lang w:val="en-US" w:eastAsia="en-US"/>
        </w:rPr>
        <w:t>his month’s t</w:t>
      </w:r>
      <w:r w:rsidRPr="00C57AD7">
        <w:rPr>
          <w:rFonts w:ascii="Georgia" w:eastAsia="MS Mincho" w:hAnsi="Georgia" w:cs="Arial"/>
          <w:b/>
          <w:noProof/>
          <w:color w:val="8D817B"/>
          <w:lang w:val="en-US" w:eastAsia="en-US"/>
        </w:rPr>
        <w:t>rades</w:t>
      </w:r>
    </w:p>
    <w:p w14:paraId="7E26A62F" w14:textId="77777777" w:rsidR="009F4C18" w:rsidRPr="009F4C18" w:rsidRDefault="009F4C18" w:rsidP="009F4C18">
      <w:pPr>
        <w:spacing w:after="120" w:line="276" w:lineRule="auto"/>
        <w:ind w:right="317"/>
        <w:rPr>
          <w:rFonts w:ascii="Georgia" w:hAnsi="Georgia"/>
          <w:sz w:val="22"/>
          <w:szCs w:val="22"/>
        </w:rPr>
      </w:pPr>
      <w:r w:rsidRPr="009F4C18">
        <w:rPr>
          <w:rFonts w:ascii="Georgia" w:hAnsi="Georgia"/>
          <w:sz w:val="22"/>
          <w:szCs w:val="22"/>
        </w:rPr>
        <w:t xml:space="preserve">As the turbulence first kicked off, we entered phase one and rebalanced our portfolios. We temporarily moved into phase two by adding ‘net’ to equities before moving back to phase one, which is where we remain </w:t>
      </w:r>
      <w:r>
        <w:rPr>
          <w:rFonts w:ascii="Georgia" w:hAnsi="Georgia"/>
          <w:sz w:val="22"/>
          <w:szCs w:val="22"/>
        </w:rPr>
        <w:t>at the time of writing</w:t>
      </w:r>
      <w:r w:rsidRPr="009F4C18">
        <w:rPr>
          <w:rFonts w:ascii="Georgia" w:hAnsi="Georgia"/>
          <w:sz w:val="22"/>
          <w:szCs w:val="22"/>
        </w:rPr>
        <w:t xml:space="preserve">. We’re also supplementing our directly owned shares by buying trackers, principally of the S&amp;P 500 but also of the FTSE 100. </w:t>
      </w:r>
    </w:p>
    <w:p w14:paraId="2BC2536F" w14:textId="77777777" w:rsidR="009F4C18" w:rsidRPr="009A6909" w:rsidRDefault="009F4C18" w:rsidP="009F4C18">
      <w:pPr>
        <w:spacing w:after="120" w:line="276" w:lineRule="auto"/>
        <w:ind w:right="317"/>
        <w:rPr>
          <w:rFonts w:ascii="Georgia" w:hAnsi="Georgia"/>
          <w:sz w:val="22"/>
          <w:szCs w:val="22"/>
        </w:rPr>
      </w:pPr>
      <w:r w:rsidRPr="009F4C18">
        <w:rPr>
          <w:rFonts w:ascii="Georgia" w:hAnsi="Georgia"/>
          <w:sz w:val="22"/>
          <w:szCs w:val="22"/>
        </w:rPr>
        <w:t xml:space="preserve">The VIX S&amp;P 500 volatility index spiked higher than levels seen during the global financial crisis and we used the opportunity to sell half of our </w:t>
      </w:r>
      <w:r w:rsidR="00C72AFB">
        <w:rPr>
          <w:rFonts w:ascii="Georgia" w:hAnsi="Georgia"/>
          <w:sz w:val="22"/>
          <w:szCs w:val="22"/>
        </w:rPr>
        <w:t xml:space="preserve">July </w:t>
      </w:r>
      <w:r w:rsidRPr="009F4C18">
        <w:rPr>
          <w:rFonts w:ascii="Georgia" w:hAnsi="Georgia"/>
          <w:sz w:val="22"/>
          <w:szCs w:val="22"/>
        </w:rPr>
        <w:t xml:space="preserve">put contracts </w:t>
      </w:r>
      <w:r w:rsidR="009843DC">
        <w:rPr>
          <w:rFonts w:ascii="Georgia" w:hAnsi="Georgia"/>
          <w:sz w:val="22"/>
          <w:szCs w:val="22"/>
        </w:rPr>
        <w:t>for</w:t>
      </w:r>
      <w:r w:rsidRPr="009F4C18">
        <w:rPr>
          <w:rFonts w:ascii="Georgia" w:hAnsi="Georgia"/>
          <w:sz w:val="22"/>
          <w:szCs w:val="22"/>
        </w:rPr>
        <w:t xml:space="preserve"> a significant profit</w:t>
      </w:r>
      <w:r w:rsidR="00C72AFB">
        <w:rPr>
          <w:rFonts w:ascii="Georgia" w:hAnsi="Georgia"/>
          <w:sz w:val="22"/>
          <w:szCs w:val="22"/>
        </w:rPr>
        <w:t xml:space="preserve"> – we also own December contracts</w:t>
      </w:r>
      <w:r w:rsidRPr="009F4C18">
        <w:rPr>
          <w:rFonts w:ascii="Georgia" w:hAnsi="Georgia"/>
          <w:sz w:val="22"/>
          <w:szCs w:val="22"/>
        </w:rPr>
        <w:t xml:space="preserve">. Puts give us the option to ‘sell’ our US exposure at a set level in return for paying a small premium (effectively this works like investment insurance). Because this level was much higher than the index </w:t>
      </w:r>
      <w:r w:rsidR="009843DC">
        <w:rPr>
          <w:rFonts w:ascii="Georgia" w:hAnsi="Georgia"/>
          <w:sz w:val="22"/>
          <w:szCs w:val="22"/>
        </w:rPr>
        <w:t>at the time</w:t>
      </w:r>
      <w:r w:rsidRPr="009F4C18">
        <w:rPr>
          <w:rFonts w:ascii="Georgia" w:hAnsi="Georgia"/>
          <w:sz w:val="22"/>
          <w:szCs w:val="22"/>
        </w:rPr>
        <w:t>, our o</w:t>
      </w:r>
      <w:r w:rsidR="009843DC">
        <w:rPr>
          <w:rFonts w:ascii="Georgia" w:hAnsi="Georgia"/>
          <w:sz w:val="22"/>
          <w:szCs w:val="22"/>
        </w:rPr>
        <w:t>ption was worth a lot of money.</w:t>
      </w:r>
      <w:r w:rsidR="00F973A7">
        <w:rPr>
          <w:rFonts w:ascii="Georgia" w:hAnsi="Georgia"/>
          <w:sz w:val="22"/>
          <w:szCs w:val="22"/>
        </w:rPr>
        <w:t xml:space="preserve"> </w:t>
      </w:r>
      <w:r w:rsidRPr="009A6909">
        <w:rPr>
          <w:rFonts w:ascii="Georgia" w:hAnsi="Georgia"/>
          <w:sz w:val="22"/>
          <w:szCs w:val="22"/>
        </w:rPr>
        <w:t xml:space="preserve">Selling part of our put contract has the effect of </w:t>
      </w:r>
      <w:r w:rsidR="00F973A7">
        <w:rPr>
          <w:rFonts w:ascii="Georgia" w:hAnsi="Georgia"/>
          <w:sz w:val="22"/>
          <w:szCs w:val="22"/>
        </w:rPr>
        <w:t xml:space="preserve">instantly </w:t>
      </w:r>
      <w:r w:rsidRPr="009A6909">
        <w:rPr>
          <w:rFonts w:ascii="Georgia" w:hAnsi="Georgia"/>
          <w:sz w:val="22"/>
          <w:szCs w:val="22"/>
        </w:rPr>
        <w:t>increasing our portfolios’ net equity exposures as well. Our remaining put contracts remain ‘in the money’ (the S&amp;P index level is below the ‘strike price’ that we can ‘sell’ at). These remaining puts continue to offer material support should markets fall further.</w:t>
      </w:r>
    </w:p>
    <w:p w14:paraId="590794A0" w14:textId="77777777" w:rsidR="002B3690" w:rsidRPr="00BA6C7F" w:rsidRDefault="009F4C18" w:rsidP="009F4C18">
      <w:pPr>
        <w:spacing w:after="120" w:line="276" w:lineRule="auto"/>
        <w:ind w:right="317"/>
        <w:rPr>
          <w:rFonts w:ascii="Georgia" w:hAnsi="Georgia"/>
          <w:i/>
          <w:sz w:val="22"/>
          <w:szCs w:val="22"/>
        </w:rPr>
      </w:pPr>
      <w:r w:rsidRPr="00166B61">
        <w:rPr>
          <w:rFonts w:ascii="Georgia" w:hAnsi="Georgia"/>
          <w:sz w:val="22"/>
          <w:szCs w:val="22"/>
        </w:rPr>
        <w:t xml:space="preserve">The </w:t>
      </w:r>
      <w:r w:rsidR="00290396">
        <w:rPr>
          <w:rFonts w:ascii="Georgia" w:hAnsi="Georgia"/>
          <w:sz w:val="22"/>
          <w:szCs w:val="22"/>
        </w:rPr>
        <w:t xml:space="preserve">lower </w:t>
      </w:r>
      <w:r w:rsidRPr="00166B61">
        <w:rPr>
          <w:rFonts w:ascii="Georgia" w:hAnsi="Georgia"/>
          <w:sz w:val="22"/>
          <w:szCs w:val="22"/>
        </w:rPr>
        <w:t xml:space="preserve">market </w:t>
      </w:r>
      <w:r w:rsidR="00290396">
        <w:rPr>
          <w:rFonts w:ascii="Georgia" w:hAnsi="Georgia"/>
          <w:sz w:val="22"/>
          <w:szCs w:val="22"/>
        </w:rPr>
        <w:t xml:space="preserve">level </w:t>
      </w:r>
      <w:r w:rsidRPr="00166B61">
        <w:rPr>
          <w:rFonts w:ascii="Georgia" w:hAnsi="Georgia"/>
          <w:sz w:val="22"/>
          <w:szCs w:val="22"/>
        </w:rPr>
        <w:t xml:space="preserve">has also presented us with a number of opportunities to add exposure to some quality companies who have exciting long-term prospects, but </w:t>
      </w:r>
      <w:r w:rsidR="00290396">
        <w:rPr>
          <w:rFonts w:ascii="Georgia" w:hAnsi="Georgia"/>
          <w:sz w:val="22"/>
          <w:szCs w:val="22"/>
        </w:rPr>
        <w:t xml:space="preserve">whose </w:t>
      </w:r>
      <w:r w:rsidRPr="00166B61">
        <w:rPr>
          <w:rFonts w:ascii="Georgia" w:hAnsi="Georgia"/>
          <w:sz w:val="22"/>
          <w:szCs w:val="22"/>
        </w:rPr>
        <w:t xml:space="preserve">valuations were too expensive for us </w:t>
      </w:r>
      <w:r w:rsidR="00290396">
        <w:rPr>
          <w:rFonts w:ascii="Georgia" w:hAnsi="Georgia"/>
          <w:sz w:val="22"/>
          <w:szCs w:val="22"/>
        </w:rPr>
        <w:t xml:space="preserve">just </w:t>
      </w:r>
      <w:r w:rsidRPr="00166B61">
        <w:rPr>
          <w:rFonts w:ascii="Georgia" w:hAnsi="Georgia"/>
          <w:sz w:val="22"/>
          <w:szCs w:val="22"/>
        </w:rPr>
        <w:t>a few months ago.</w:t>
      </w:r>
      <w:r w:rsidR="003B0597" w:rsidRPr="003B0597">
        <w:rPr>
          <w:rFonts w:ascii="Georgia" w:hAnsi="Georgia"/>
          <w:sz w:val="22"/>
          <w:szCs w:val="22"/>
        </w:rPr>
        <w:t xml:space="preserve"> </w:t>
      </w:r>
      <w:r w:rsidR="003B0597">
        <w:rPr>
          <w:rFonts w:ascii="Georgia" w:hAnsi="Georgia"/>
          <w:sz w:val="22"/>
          <w:szCs w:val="22"/>
        </w:rPr>
        <w:t>W</w:t>
      </w:r>
      <w:r w:rsidR="003B0597" w:rsidRPr="00C45D8D">
        <w:rPr>
          <w:rFonts w:ascii="Georgia" w:hAnsi="Georgia"/>
          <w:sz w:val="22"/>
          <w:szCs w:val="22"/>
        </w:rPr>
        <w:t xml:space="preserve">e </w:t>
      </w:r>
      <w:r w:rsidR="003B0597">
        <w:rPr>
          <w:rFonts w:ascii="Georgia" w:hAnsi="Georgia"/>
          <w:sz w:val="22"/>
          <w:szCs w:val="22"/>
        </w:rPr>
        <w:t xml:space="preserve">also </w:t>
      </w:r>
      <w:r w:rsidR="003B0597" w:rsidRPr="00C45D8D">
        <w:rPr>
          <w:rFonts w:ascii="Georgia" w:hAnsi="Georgia"/>
          <w:sz w:val="22"/>
          <w:szCs w:val="22"/>
        </w:rPr>
        <w:t>added to US equities as markets had dropped to our entry point, then trade</w:t>
      </w:r>
      <w:r w:rsidR="003B0597">
        <w:rPr>
          <w:rFonts w:ascii="Georgia" w:hAnsi="Georgia"/>
          <w:sz w:val="22"/>
          <w:szCs w:val="22"/>
        </w:rPr>
        <w:t>d again off the continued lows.</w:t>
      </w:r>
      <w:r w:rsidRPr="001B23D3">
        <w:rPr>
          <w:rFonts w:ascii="Georgia" w:hAnsi="Georgia"/>
          <w:i/>
          <w:sz w:val="22"/>
          <w:szCs w:val="22"/>
        </w:rPr>
        <w:t xml:space="preserve"> </w:t>
      </w:r>
      <w:r w:rsidRPr="00C45D8D">
        <w:rPr>
          <w:rFonts w:ascii="Georgia" w:hAnsi="Georgia"/>
          <w:sz w:val="22"/>
          <w:szCs w:val="22"/>
        </w:rPr>
        <w:t xml:space="preserve">We also added to short-term US Treasuries to increase </w:t>
      </w:r>
      <w:r w:rsidR="002B3690">
        <w:rPr>
          <w:rFonts w:ascii="Georgia" w:hAnsi="Georgia"/>
          <w:sz w:val="22"/>
          <w:szCs w:val="22"/>
        </w:rPr>
        <w:t xml:space="preserve">our </w:t>
      </w:r>
      <w:r w:rsidRPr="00C45D8D">
        <w:rPr>
          <w:rFonts w:ascii="Georgia" w:hAnsi="Georgia"/>
          <w:sz w:val="22"/>
          <w:szCs w:val="22"/>
        </w:rPr>
        <w:t xml:space="preserve">dollar exposure as a hedge should we see a further capitulation in markets. </w:t>
      </w:r>
    </w:p>
    <w:p w14:paraId="12DDAD06" w14:textId="77777777" w:rsidR="00C57AD7" w:rsidRPr="00C57AD7" w:rsidRDefault="00C57AD7" w:rsidP="00C57AD7">
      <w:pPr>
        <w:spacing w:after="120" w:line="276" w:lineRule="auto"/>
        <w:ind w:right="317"/>
        <w:rPr>
          <w:rFonts w:ascii="Georgia" w:hAnsi="Georgia"/>
          <w:b/>
          <w:sz w:val="22"/>
          <w:szCs w:val="22"/>
        </w:rPr>
      </w:pPr>
      <w:r w:rsidRPr="00C57AD7">
        <w:rPr>
          <w:rFonts w:ascii="Georgia" w:eastAsia="MS Mincho" w:hAnsi="Georgia" w:cs="Arial"/>
          <w:b/>
          <w:noProof/>
          <w:color w:val="8D817B"/>
          <w:lang w:val="en-US" w:eastAsia="en-US"/>
        </w:rPr>
        <w:t>Outlook</w:t>
      </w:r>
    </w:p>
    <w:p w14:paraId="5D436C0F" w14:textId="45095692" w:rsidR="00F70AAB" w:rsidRDefault="00F70AAB" w:rsidP="00F70AAB">
      <w:pPr>
        <w:spacing w:after="120" w:line="276" w:lineRule="auto"/>
        <w:ind w:right="317"/>
        <w:rPr>
          <w:rFonts w:ascii="Georgia" w:hAnsi="Georgia"/>
          <w:sz w:val="22"/>
          <w:szCs w:val="22"/>
        </w:rPr>
      </w:pPr>
      <w:r w:rsidRPr="00BF14E5">
        <w:rPr>
          <w:rFonts w:ascii="Georgia" w:hAnsi="Georgia"/>
          <w:sz w:val="22"/>
          <w:szCs w:val="22"/>
        </w:rPr>
        <w:t>Markets</w:t>
      </w:r>
      <w:r>
        <w:rPr>
          <w:rFonts w:ascii="Georgia" w:hAnsi="Georgia"/>
          <w:sz w:val="22"/>
          <w:szCs w:val="22"/>
        </w:rPr>
        <w:t xml:space="preserve"> stumbled </w:t>
      </w:r>
      <w:r w:rsidRPr="00BF14E5">
        <w:rPr>
          <w:rFonts w:ascii="Georgia" w:hAnsi="Georgia"/>
          <w:sz w:val="22"/>
          <w:szCs w:val="22"/>
        </w:rPr>
        <w:t xml:space="preserve">at the end of February </w:t>
      </w:r>
      <w:r>
        <w:rPr>
          <w:rFonts w:ascii="Georgia" w:hAnsi="Georgia"/>
          <w:sz w:val="22"/>
          <w:szCs w:val="22"/>
        </w:rPr>
        <w:t xml:space="preserve">as Covid-19 spread beyond Asia. They </w:t>
      </w:r>
      <w:r w:rsidR="005A4409">
        <w:rPr>
          <w:rFonts w:ascii="Georgia" w:hAnsi="Georgia"/>
          <w:sz w:val="22"/>
          <w:szCs w:val="22"/>
        </w:rPr>
        <w:t xml:space="preserve">sold off more significantly in </w:t>
      </w:r>
      <w:r>
        <w:rPr>
          <w:rFonts w:ascii="Georgia" w:hAnsi="Georgia"/>
          <w:sz w:val="22"/>
          <w:szCs w:val="22"/>
        </w:rPr>
        <w:t>March as it became evident that the virus was spreading around the world</w:t>
      </w:r>
      <w:r w:rsidR="000765F2">
        <w:rPr>
          <w:rFonts w:ascii="Georgia" w:hAnsi="Georgia"/>
          <w:sz w:val="22"/>
          <w:szCs w:val="22"/>
        </w:rPr>
        <w:t xml:space="preserve"> at an alarming pace</w:t>
      </w:r>
      <w:r>
        <w:rPr>
          <w:rFonts w:ascii="Georgia" w:hAnsi="Georgia"/>
          <w:sz w:val="22"/>
          <w:szCs w:val="22"/>
        </w:rPr>
        <w:t>. Western governments were caught with inadequate preparations and a chronic lack of medical supplies and capacity to deal with a pandemic.</w:t>
      </w:r>
    </w:p>
    <w:p w14:paraId="7E957415" w14:textId="780C3467" w:rsidR="00F70AAB" w:rsidRDefault="00F70AAB" w:rsidP="00F70AAB">
      <w:pPr>
        <w:spacing w:after="120" w:line="276" w:lineRule="auto"/>
        <w:ind w:right="317"/>
        <w:rPr>
          <w:rFonts w:ascii="Georgia" w:hAnsi="Georgia"/>
          <w:sz w:val="22"/>
          <w:szCs w:val="22"/>
        </w:rPr>
      </w:pPr>
      <w:r>
        <w:rPr>
          <w:rFonts w:ascii="Georgia" w:hAnsi="Georgia"/>
          <w:sz w:val="22"/>
          <w:szCs w:val="22"/>
        </w:rPr>
        <w:t xml:space="preserve">Thankfully, most nations have responded quickly with stringent measures to slow the spread of the virus and economic measures to support people and businesses. Most of us are now living </w:t>
      </w:r>
      <w:r w:rsidR="001726F1">
        <w:rPr>
          <w:rFonts w:ascii="Georgia" w:hAnsi="Georgia"/>
          <w:sz w:val="22"/>
          <w:szCs w:val="22"/>
        </w:rPr>
        <w:t>in lockdown</w:t>
      </w:r>
      <w:r>
        <w:rPr>
          <w:rFonts w:ascii="Georgia" w:hAnsi="Georgia"/>
          <w:sz w:val="22"/>
          <w:szCs w:val="22"/>
        </w:rPr>
        <w:t xml:space="preserve"> as commerce, church, sports and general society has been brought to a shuddering stand-still. Yet, even as the world is put on ice, the financial markets continue whirring away. And whir</w:t>
      </w:r>
      <w:r w:rsidR="008F6DD3">
        <w:rPr>
          <w:rFonts w:ascii="Georgia" w:hAnsi="Georgia"/>
          <w:sz w:val="22"/>
          <w:szCs w:val="22"/>
        </w:rPr>
        <w:t>r</w:t>
      </w:r>
      <w:r>
        <w:rPr>
          <w:rFonts w:ascii="Georgia" w:hAnsi="Georgia"/>
          <w:sz w:val="22"/>
          <w:szCs w:val="22"/>
        </w:rPr>
        <w:t xml:space="preserve"> they do. The moves – both up and down, but mostly down – have been truly astonishing. Some investors see no hope on the horizon, others see huge bargains. Some see repulsive risk, some see the allure of opportunity. All of them, though, are looking at the same assets and the same world.</w:t>
      </w:r>
    </w:p>
    <w:p w14:paraId="46933467" w14:textId="64A67A6E" w:rsidR="00F70AAB" w:rsidRDefault="00F70AAB" w:rsidP="00F70AAB">
      <w:pPr>
        <w:spacing w:after="120" w:line="276" w:lineRule="auto"/>
        <w:ind w:right="317"/>
        <w:rPr>
          <w:rFonts w:ascii="Georgia" w:hAnsi="Georgia"/>
          <w:sz w:val="22"/>
          <w:szCs w:val="22"/>
        </w:rPr>
      </w:pPr>
      <w:r>
        <w:rPr>
          <w:rFonts w:ascii="Georgia" w:hAnsi="Georgia"/>
          <w:sz w:val="22"/>
          <w:szCs w:val="22"/>
        </w:rPr>
        <w:t>No-one knows how long the pandemic will shackle economies, businesses and households. We certainly don’t. But we do know that governments around the world have extended unprecedented loans, grants and tax holidays in a bid to encourage companies to retain their staff throughout extended furloughs. If successful, this should reduce the number of people laid off and help prevent a terminal cycle of lessened spending leading to more lay-offs leading to more lay-offs leading to a multi-year depression. Central banks have s</w:t>
      </w:r>
      <w:r w:rsidR="000D46AD">
        <w:rPr>
          <w:rFonts w:ascii="Georgia" w:hAnsi="Georgia"/>
          <w:sz w:val="22"/>
          <w:szCs w:val="22"/>
        </w:rPr>
        <w:t>tepped up to the plate as well, w</w:t>
      </w:r>
      <w:r>
        <w:rPr>
          <w:rFonts w:ascii="Georgia" w:hAnsi="Georgia"/>
          <w:sz w:val="22"/>
          <w:szCs w:val="22"/>
        </w:rPr>
        <w:t>ith every major central bank slashing interest rates, unleashing quantitative easing and flooding vital lending markets with money. In short, our politicians and technocrats have thrown as much as they could at this problem.</w:t>
      </w:r>
    </w:p>
    <w:p w14:paraId="184E271E" w14:textId="77777777" w:rsidR="00F70AAB" w:rsidRDefault="00F70AAB" w:rsidP="00F70AAB">
      <w:pPr>
        <w:spacing w:after="120" w:line="276" w:lineRule="auto"/>
        <w:ind w:right="317"/>
        <w:rPr>
          <w:rFonts w:ascii="Georgia" w:hAnsi="Georgia"/>
          <w:sz w:val="22"/>
          <w:szCs w:val="22"/>
        </w:rPr>
      </w:pPr>
      <w:r>
        <w:rPr>
          <w:rFonts w:ascii="Georgia" w:hAnsi="Georgia"/>
          <w:sz w:val="22"/>
          <w:szCs w:val="22"/>
        </w:rPr>
        <w:t xml:space="preserve">Investors tend to focus on GDP, almost to the exclusion of all else. It’s the base line for investment cases, the yardstick for judging a company’s earnings, for assessing the yield offered by a government bond. </w:t>
      </w:r>
      <w:r>
        <w:rPr>
          <w:rFonts w:ascii="Georgia" w:hAnsi="Georgia"/>
          <w:sz w:val="22"/>
          <w:szCs w:val="22"/>
        </w:rPr>
        <w:lastRenderedPageBreak/>
        <w:t xml:space="preserve">But times like this remind us that growth isn’t everything. Economic growth is way to judge the commercial performance of a society, but it has its trade-offs. And it doesn’t always have to be maximised, strange as it sounds for an investor to say. Governments around the world are trying to reduce GDP in order to beat Covid-19. This is a short-term measure that, all going well, will be reversed soon. This means that GDP and other economic metrics that we investors are used to watching will, over the coming weeks and months, plumb lows that we have never seen before. Some investors, suddenly without short-term indicators, will panic and create a lot of volatility. Newspapers will run doom-laden headlines about how measure X is at its lowest level ever. But you have to remember: </w:t>
      </w:r>
      <w:r w:rsidRPr="003334B6">
        <w:rPr>
          <w:rFonts w:ascii="Georgia" w:hAnsi="Georgia"/>
          <w:i/>
          <w:sz w:val="22"/>
          <w:szCs w:val="22"/>
        </w:rPr>
        <w:t>lower GDP is the aim of government and our society</w:t>
      </w:r>
      <w:r>
        <w:rPr>
          <w:rFonts w:ascii="Georgia" w:hAnsi="Georgia"/>
          <w:i/>
          <w:sz w:val="22"/>
          <w:szCs w:val="22"/>
        </w:rPr>
        <w:t xml:space="preserve"> for the coming months </w:t>
      </w:r>
      <w:r>
        <w:rPr>
          <w:rFonts w:ascii="Georgia" w:hAnsi="Georgia"/>
          <w:sz w:val="22"/>
          <w:szCs w:val="22"/>
        </w:rPr>
        <w:t xml:space="preserve">because that’s how we will stop the spread of the virus. This is not forever. </w:t>
      </w:r>
    </w:p>
    <w:p w14:paraId="093F5942" w14:textId="69CE2A80" w:rsidR="009A70A8" w:rsidRDefault="00F70AAB" w:rsidP="00F70AAB">
      <w:pPr>
        <w:spacing w:line="276" w:lineRule="auto"/>
        <w:rPr>
          <w:rFonts w:ascii="Georgia" w:eastAsia="Times New Roman" w:hAnsi="Georgia" w:cstheme="minorHAnsi"/>
          <w:b/>
          <w:sz w:val="22"/>
          <w:szCs w:val="22"/>
        </w:rPr>
      </w:pPr>
      <w:r>
        <w:rPr>
          <w:rFonts w:ascii="Georgia" w:hAnsi="Georgia"/>
          <w:sz w:val="22"/>
          <w:szCs w:val="22"/>
        </w:rPr>
        <w:t>Many businesses and households will face a cash flow crunch in the coming weeks and months. Most particularly the self-employed, the zero-hours workers, and the whole of the retail and hospitality industries. Most important for us is whether the announced government policies, round the world, w</w:t>
      </w:r>
      <w:r w:rsidR="00AE52BA">
        <w:rPr>
          <w:rFonts w:ascii="Georgia" w:hAnsi="Georgia"/>
          <w:sz w:val="22"/>
          <w:szCs w:val="22"/>
        </w:rPr>
        <w:t xml:space="preserve">ork as intended and get to the </w:t>
      </w:r>
      <w:r>
        <w:rPr>
          <w:rFonts w:ascii="Georgia" w:hAnsi="Georgia"/>
          <w:sz w:val="22"/>
          <w:szCs w:val="22"/>
        </w:rPr>
        <w:t>people and small businesses</w:t>
      </w:r>
      <w:r w:rsidR="00AE52BA">
        <w:rPr>
          <w:rFonts w:ascii="Georgia" w:hAnsi="Georgia"/>
          <w:sz w:val="22"/>
          <w:szCs w:val="22"/>
        </w:rPr>
        <w:t xml:space="preserve"> that need them</w:t>
      </w:r>
      <w:r>
        <w:rPr>
          <w:rFonts w:ascii="Georgia" w:hAnsi="Georgia"/>
          <w:sz w:val="22"/>
          <w:szCs w:val="22"/>
        </w:rPr>
        <w:t>. If they are executed poorly, the chances of a strong recovery once the virus has been beaten back will be greatly reduced.</w:t>
      </w:r>
    </w:p>
    <w:p w14:paraId="5E4FE4A9" w14:textId="77777777" w:rsidR="009A70A8" w:rsidRDefault="009A70A8" w:rsidP="009F0D79">
      <w:pPr>
        <w:spacing w:line="276" w:lineRule="auto"/>
        <w:rPr>
          <w:rFonts w:ascii="Georgia" w:eastAsia="Times New Roman" w:hAnsi="Georgia" w:cstheme="minorHAnsi"/>
          <w:b/>
          <w:sz w:val="22"/>
          <w:szCs w:val="22"/>
        </w:rPr>
      </w:pPr>
    </w:p>
    <w:tbl>
      <w:tblPr>
        <w:tblStyle w:val="TableGrid2"/>
        <w:tblpPr w:leftFromText="180" w:rightFromText="180" w:vertAnchor="text" w:horzAnchor="margin"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2835"/>
      </w:tblGrid>
      <w:tr w:rsidR="00303C74" w:rsidRPr="00303C74" w14:paraId="1B12E4C8" w14:textId="77777777" w:rsidTr="00C00A35">
        <w:tc>
          <w:tcPr>
            <w:tcW w:w="4531" w:type="dxa"/>
          </w:tcPr>
          <w:p w14:paraId="3A03FD43" w14:textId="77777777" w:rsidR="00303C74" w:rsidRPr="00303C74" w:rsidRDefault="00303C74" w:rsidP="00303C74">
            <w:pPr>
              <w:rPr>
                <w:rFonts w:ascii="Georgia" w:eastAsia="MS Mincho" w:hAnsi="Georgia" w:cs="Arial"/>
                <w:bCs/>
                <w:lang w:val="en-US" w:eastAsia="en-US"/>
              </w:rPr>
            </w:pPr>
            <w:r w:rsidRPr="00303C74">
              <w:rPr>
                <w:rFonts w:ascii="Cambria" w:eastAsia="MS Mincho" w:hAnsi="Cambria"/>
                <w:noProof/>
              </w:rPr>
              <w:drawing>
                <wp:anchor distT="0" distB="0" distL="114300" distR="114300" simplePos="0" relativeHeight="251659264" behindDoc="0" locked="0" layoutInCell="1" allowOverlap="1" wp14:anchorId="7FFF567A" wp14:editId="01A57B23">
                  <wp:simplePos x="0" y="0"/>
                  <wp:positionH relativeFrom="column">
                    <wp:posOffset>-6350</wp:posOffset>
                  </wp:positionH>
                  <wp:positionV relativeFrom="paragraph">
                    <wp:posOffset>163830</wp:posOffset>
                  </wp:positionV>
                  <wp:extent cx="1115695" cy="153479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1604" t="6492" r="16078" b="27211"/>
                          <a:stretch/>
                        </pic:blipFill>
                        <pic:spPr bwMode="auto">
                          <a:xfrm>
                            <a:off x="0" y="0"/>
                            <a:ext cx="1115695" cy="1534795"/>
                          </a:xfrm>
                          <a:prstGeom prst="rect">
                            <a:avLst/>
                          </a:prstGeom>
                          <a:ln>
                            <a:noFill/>
                          </a:ln>
                          <a:extLst>
                            <a:ext uri="{53640926-AAD7-44D8-BBD7-CCE9431645EC}">
                              <a14:shadowObscured xmlns:a14="http://schemas.microsoft.com/office/drawing/2010/main"/>
                            </a:ext>
                          </a:extLst>
                        </pic:spPr>
                      </pic:pic>
                    </a:graphicData>
                  </a:graphic>
                </wp:anchor>
              </w:drawing>
            </w:r>
          </w:p>
        </w:tc>
        <w:tc>
          <w:tcPr>
            <w:tcW w:w="2835" w:type="dxa"/>
          </w:tcPr>
          <w:p w14:paraId="4617D353" w14:textId="77777777" w:rsidR="00303C74" w:rsidRPr="00303C74" w:rsidRDefault="00303C74" w:rsidP="00303C74">
            <w:pPr>
              <w:rPr>
                <w:rFonts w:ascii="Georgia" w:eastAsia="MS Mincho" w:hAnsi="Georgia" w:cs="Arial"/>
                <w:bCs/>
                <w:lang w:val="en-US" w:eastAsia="en-US"/>
              </w:rPr>
            </w:pPr>
            <w:r w:rsidRPr="00303C74">
              <w:rPr>
                <w:rFonts w:ascii="Cambria" w:eastAsia="MS Mincho" w:hAnsi="Cambria"/>
                <w:noProof/>
              </w:rPr>
              <w:drawing>
                <wp:anchor distT="0" distB="0" distL="114300" distR="114300" simplePos="0" relativeHeight="251660288" behindDoc="1" locked="0" layoutInCell="1" allowOverlap="1" wp14:anchorId="4471A816" wp14:editId="574A1A93">
                  <wp:simplePos x="0" y="0"/>
                  <wp:positionH relativeFrom="column">
                    <wp:posOffset>-1905</wp:posOffset>
                  </wp:positionH>
                  <wp:positionV relativeFrom="paragraph">
                    <wp:posOffset>163830</wp:posOffset>
                  </wp:positionV>
                  <wp:extent cx="1181100" cy="1552575"/>
                  <wp:effectExtent l="0" t="0" r="0" b="0"/>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9"/>
                          <a:srcRect/>
                          <a:stretch>
                            <a:fillRect/>
                          </a:stretch>
                        </pic:blipFill>
                        <pic:spPr bwMode="auto">
                          <a:xfrm>
                            <a:off x="0" y="0"/>
                            <a:ext cx="1181100" cy="1552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303C74" w:rsidRPr="00303C74" w14:paraId="19954F83" w14:textId="77777777" w:rsidTr="00C00A35">
        <w:tc>
          <w:tcPr>
            <w:tcW w:w="4531" w:type="dxa"/>
          </w:tcPr>
          <w:p w14:paraId="3EDF8707" w14:textId="77777777" w:rsidR="00303C74" w:rsidRPr="00303C74" w:rsidRDefault="00303C74" w:rsidP="00303C74">
            <w:pPr>
              <w:rPr>
                <w:rFonts w:ascii="Georgia" w:eastAsia="MS Mincho" w:hAnsi="Georgia" w:cs="Arial"/>
                <w:bCs/>
                <w:lang w:val="en-US" w:eastAsia="en-US"/>
              </w:rPr>
            </w:pPr>
            <w:r w:rsidRPr="00303C74">
              <w:rPr>
                <w:rFonts w:ascii="Georgia" w:eastAsia="MS Mincho" w:hAnsi="Georgia" w:cs="Arial"/>
                <w:b/>
                <w:bCs/>
                <w:lang w:val="en-US" w:eastAsia="en-US"/>
              </w:rPr>
              <w:t>David Coombs</w:t>
            </w:r>
          </w:p>
        </w:tc>
        <w:tc>
          <w:tcPr>
            <w:tcW w:w="2835" w:type="dxa"/>
          </w:tcPr>
          <w:p w14:paraId="204BDE21" w14:textId="77777777" w:rsidR="00303C74" w:rsidRPr="00303C74" w:rsidRDefault="00303C74" w:rsidP="00303C74">
            <w:pPr>
              <w:rPr>
                <w:rFonts w:ascii="Georgia" w:eastAsia="MS Mincho" w:hAnsi="Georgia" w:cs="Arial"/>
                <w:bCs/>
                <w:lang w:val="en-US" w:eastAsia="en-US"/>
              </w:rPr>
            </w:pPr>
            <w:r w:rsidRPr="00303C74">
              <w:rPr>
                <w:rFonts w:ascii="Georgia" w:eastAsia="MS Mincho" w:hAnsi="Georgia" w:cs="Arial"/>
                <w:b/>
                <w:bCs/>
                <w:lang w:val="en-US" w:eastAsia="en-US"/>
              </w:rPr>
              <w:t>Will McIntosh-Whyte</w:t>
            </w:r>
          </w:p>
        </w:tc>
      </w:tr>
      <w:tr w:rsidR="00303C74" w:rsidRPr="00303C74" w14:paraId="723A97DF" w14:textId="77777777" w:rsidTr="00C00A35">
        <w:trPr>
          <w:trHeight w:val="292"/>
        </w:trPr>
        <w:tc>
          <w:tcPr>
            <w:tcW w:w="4531" w:type="dxa"/>
          </w:tcPr>
          <w:p w14:paraId="10181EEC" w14:textId="77777777" w:rsidR="00303C74" w:rsidRPr="00303C74" w:rsidRDefault="00303C74" w:rsidP="00303C74">
            <w:pPr>
              <w:rPr>
                <w:rFonts w:ascii="Georgia" w:eastAsia="MS Mincho" w:hAnsi="Georgia" w:cs="Arial"/>
                <w:bCs/>
                <w:lang w:val="en-US" w:eastAsia="en-US"/>
              </w:rPr>
            </w:pPr>
            <w:r w:rsidRPr="00303C74">
              <w:rPr>
                <w:rFonts w:ascii="Georgia" w:eastAsia="MS Mincho" w:hAnsi="Georgia" w:cs="Arial"/>
                <w:bCs/>
                <w:lang w:val="en-US" w:eastAsia="en-US"/>
              </w:rPr>
              <w:t>Head of Multi-Asset Investments</w:t>
            </w:r>
            <w:r w:rsidRPr="00303C74">
              <w:rPr>
                <w:rFonts w:ascii="Georgia" w:eastAsia="MS Mincho" w:hAnsi="Georgia" w:cs="Arial"/>
                <w:bCs/>
                <w:lang w:val="en-US" w:eastAsia="en-US"/>
              </w:rPr>
              <w:tab/>
            </w:r>
          </w:p>
        </w:tc>
        <w:tc>
          <w:tcPr>
            <w:tcW w:w="2835" w:type="dxa"/>
          </w:tcPr>
          <w:p w14:paraId="0866FE68" w14:textId="77777777" w:rsidR="00303C74" w:rsidRPr="00303C74" w:rsidRDefault="00303C74" w:rsidP="00303C74">
            <w:pPr>
              <w:rPr>
                <w:rFonts w:ascii="Georgia" w:eastAsia="MS Mincho" w:hAnsi="Georgia" w:cs="Arial"/>
                <w:bCs/>
                <w:lang w:val="en-US" w:eastAsia="en-US"/>
              </w:rPr>
            </w:pPr>
            <w:r w:rsidRPr="00303C74">
              <w:rPr>
                <w:rFonts w:ascii="Georgia" w:eastAsia="MS Mincho" w:hAnsi="Georgia" w:cs="Arial"/>
                <w:bCs/>
                <w:lang w:val="en-US" w:eastAsia="en-US"/>
              </w:rPr>
              <w:t>Fund Manager</w:t>
            </w:r>
          </w:p>
        </w:tc>
      </w:tr>
    </w:tbl>
    <w:p w14:paraId="4CE139C7" w14:textId="77777777" w:rsidR="00303C74" w:rsidRDefault="00303C74" w:rsidP="009F0D79">
      <w:pPr>
        <w:spacing w:line="276" w:lineRule="auto"/>
        <w:rPr>
          <w:rFonts w:ascii="Georgia" w:eastAsia="Times New Roman" w:hAnsi="Georgia" w:cstheme="minorHAnsi"/>
          <w:b/>
          <w:sz w:val="22"/>
          <w:szCs w:val="22"/>
        </w:rPr>
      </w:pPr>
    </w:p>
    <w:p w14:paraId="77725331" w14:textId="77777777" w:rsidR="00303C74" w:rsidRDefault="00303C74" w:rsidP="009F0D79">
      <w:pPr>
        <w:spacing w:line="276" w:lineRule="auto"/>
        <w:rPr>
          <w:rFonts w:ascii="Georgia" w:eastAsia="Times New Roman" w:hAnsi="Georgia" w:cstheme="minorHAnsi"/>
          <w:b/>
          <w:sz w:val="22"/>
          <w:szCs w:val="22"/>
        </w:rPr>
      </w:pPr>
    </w:p>
    <w:p w14:paraId="77EE7F13" w14:textId="77777777" w:rsidR="00303C74" w:rsidRDefault="00303C74" w:rsidP="009F0D79">
      <w:pPr>
        <w:spacing w:line="276" w:lineRule="auto"/>
        <w:rPr>
          <w:rFonts w:ascii="Georgia" w:eastAsia="Times New Roman" w:hAnsi="Georgia" w:cstheme="minorHAnsi"/>
          <w:b/>
          <w:sz w:val="22"/>
          <w:szCs w:val="22"/>
        </w:rPr>
      </w:pPr>
    </w:p>
    <w:p w14:paraId="138DFAE9" w14:textId="77777777" w:rsidR="00303C74" w:rsidRDefault="00303C74" w:rsidP="009F0D79">
      <w:pPr>
        <w:spacing w:line="276" w:lineRule="auto"/>
        <w:rPr>
          <w:rFonts w:ascii="Georgia" w:eastAsia="Times New Roman" w:hAnsi="Georgia" w:cstheme="minorHAnsi"/>
          <w:b/>
          <w:sz w:val="22"/>
          <w:szCs w:val="22"/>
        </w:rPr>
      </w:pPr>
    </w:p>
    <w:p w14:paraId="48DF6BA0" w14:textId="77777777" w:rsidR="00303C74" w:rsidRDefault="00303C74" w:rsidP="009F0D79">
      <w:pPr>
        <w:spacing w:line="276" w:lineRule="auto"/>
        <w:rPr>
          <w:rFonts w:ascii="Georgia" w:eastAsia="Times New Roman" w:hAnsi="Georgia" w:cstheme="minorHAnsi"/>
          <w:b/>
          <w:sz w:val="22"/>
          <w:szCs w:val="22"/>
        </w:rPr>
      </w:pPr>
    </w:p>
    <w:p w14:paraId="3E30AEB2" w14:textId="77777777" w:rsidR="00303C74" w:rsidRDefault="00303C74" w:rsidP="009F0D79">
      <w:pPr>
        <w:spacing w:line="276" w:lineRule="auto"/>
        <w:rPr>
          <w:rFonts w:ascii="Georgia" w:eastAsia="Times New Roman" w:hAnsi="Georgia" w:cstheme="minorHAnsi"/>
          <w:b/>
          <w:sz w:val="22"/>
          <w:szCs w:val="22"/>
        </w:rPr>
      </w:pPr>
    </w:p>
    <w:p w14:paraId="6CAAA6C5" w14:textId="77777777" w:rsidR="00303C74" w:rsidRDefault="00303C74" w:rsidP="009F0D79">
      <w:pPr>
        <w:spacing w:line="276" w:lineRule="auto"/>
        <w:rPr>
          <w:rFonts w:ascii="Georgia" w:eastAsia="Times New Roman" w:hAnsi="Georgia" w:cstheme="minorHAnsi"/>
          <w:b/>
          <w:sz w:val="22"/>
          <w:szCs w:val="22"/>
        </w:rPr>
      </w:pPr>
    </w:p>
    <w:p w14:paraId="69CCD80A" w14:textId="77777777" w:rsidR="00303C74" w:rsidRDefault="00303C74" w:rsidP="009F0D79">
      <w:pPr>
        <w:spacing w:line="276" w:lineRule="auto"/>
        <w:rPr>
          <w:rFonts w:ascii="Georgia" w:eastAsia="Times New Roman" w:hAnsi="Georgia" w:cstheme="minorHAnsi"/>
          <w:b/>
          <w:sz w:val="22"/>
          <w:szCs w:val="22"/>
        </w:rPr>
      </w:pPr>
    </w:p>
    <w:p w14:paraId="7288D6DD" w14:textId="77777777" w:rsidR="00303C74" w:rsidRDefault="00303C74" w:rsidP="009F0D79">
      <w:pPr>
        <w:spacing w:line="276" w:lineRule="auto"/>
        <w:rPr>
          <w:rFonts w:ascii="Georgia" w:eastAsia="Times New Roman" w:hAnsi="Georgia" w:cstheme="minorHAnsi"/>
          <w:b/>
          <w:sz w:val="22"/>
          <w:szCs w:val="22"/>
        </w:rPr>
      </w:pPr>
    </w:p>
    <w:p w14:paraId="06A7D752" w14:textId="77777777" w:rsidR="00303C74" w:rsidRDefault="00303C74" w:rsidP="009F0D79">
      <w:pPr>
        <w:spacing w:line="276" w:lineRule="auto"/>
        <w:rPr>
          <w:rFonts w:ascii="Georgia" w:eastAsia="Times New Roman" w:hAnsi="Georgia" w:cstheme="minorHAnsi"/>
          <w:b/>
          <w:sz w:val="22"/>
          <w:szCs w:val="22"/>
        </w:rPr>
      </w:pPr>
    </w:p>
    <w:p w14:paraId="6FFC2227" w14:textId="77777777" w:rsidR="00303C74" w:rsidRDefault="00303C74" w:rsidP="009F0D79">
      <w:pPr>
        <w:spacing w:line="276" w:lineRule="auto"/>
        <w:rPr>
          <w:rFonts w:ascii="Georgia" w:eastAsia="Times New Roman" w:hAnsi="Georgia" w:cstheme="minorHAnsi"/>
          <w:b/>
          <w:sz w:val="22"/>
          <w:szCs w:val="22"/>
        </w:rPr>
      </w:pPr>
    </w:p>
    <w:p w14:paraId="013D87DD" w14:textId="77777777" w:rsidR="0094315E" w:rsidRDefault="0094315E" w:rsidP="0094315E">
      <w:pPr>
        <w:spacing w:line="276" w:lineRule="auto"/>
        <w:rPr>
          <w:rFonts w:ascii="Georgia" w:eastAsia="Times New Roman" w:hAnsi="Georgia" w:cstheme="minorHAnsi"/>
          <w:b/>
          <w:sz w:val="22"/>
          <w:szCs w:val="22"/>
        </w:rPr>
      </w:pPr>
    </w:p>
    <w:p w14:paraId="3091D5F2" w14:textId="77777777" w:rsidR="0094315E" w:rsidRDefault="0094315E" w:rsidP="0094315E">
      <w:pPr>
        <w:pBdr>
          <w:top w:val="single" w:sz="4" w:space="2" w:color="auto"/>
          <w:left w:val="single" w:sz="4" w:space="4" w:color="auto"/>
          <w:bottom w:val="single" w:sz="4" w:space="6" w:color="auto"/>
          <w:right w:val="single" w:sz="4" w:space="0" w:color="auto"/>
        </w:pBdr>
        <w:ind w:left="426" w:right="3236"/>
        <w:rPr>
          <w:rFonts w:ascii="Arial" w:hAnsi="Arial" w:cs="Arial"/>
          <w:color w:val="333333"/>
          <w:sz w:val="22"/>
          <w:szCs w:val="22"/>
          <w:shd w:val="clear" w:color="auto" w:fill="FFFFFF"/>
        </w:rPr>
      </w:pPr>
      <w:r>
        <w:rPr>
          <w:rFonts w:ascii="Arial" w:hAnsi="Arial" w:cs="Arial"/>
          <w:b/>
          <w:bCs/>
          <w:sz w:val="22"/>
          <w:szCs w:val="22"/>
        </w:rPr>
        <w:t>This is a financial promotion relating to the Rathbone SICAV Multi-Asset Enhanced Growth Portfolio. Any views and opinions are those of the investment manager, and coverage of any assets held must be taken in the context of the constitution of the fund and in no way reflects an investment recommendation. The information contained in this note is for use by investment advisers and journalists and must not be circulated to private clients or to the general public. Source performance data, Financial Express, single priced, mid to mid, net income re-invested.</w:t>
      </w:r>
      <w:r>
        <w:rPr>
          <w:rFonts w:ascii="Arial" w:hAnsi="Arial" w:cs="Arial"/>
          <w:color w:val="333333"/>
          <w:sz w:val="22"/>
          <w:szCs w:val="22"/>
          <w:shd w:val="clear" w:color="auto" w:fill="FFFFFF"/>
        </w:rPr>
        <w:t xml:space="preserve"> </w:t>
      </w:r>
    </w:p>
    <w:p w14:paraId="65C96248" w14:textId="77777777" w:rsidR="0094315E" w:rsidRDefault="0094315E" w:rsidP="0094315E">
      <w:pPr>
        <w:tabs>
          <w:tab w:val="left" w:pos="3967"/>
        </w:tabs>
        <w:ind w:left="284"/>
        <w:rPr>
          <w:rFonts w:ascii="Arial" w:hAnsi="Arial" w:cs="Arial"/>
          <w:sz w:val="18"/>
          <w:szCs w:val="20"/>
        </w:rPr>
      </w:pPr>
    </w:p>
    <w:p w14:paraId="79CC406D" w14:textId="77777777" w:rsidR="0094315E" w:rsidRDefault="0094315E" w:rsidP="0094315E">
      <w:pPr>
        <w:tabs>
          <w:tab w:val="left" w:pos="3967"/>
        </w:tabs>
        <w:ind w:left="284"/>
        <w:rPr>
          <w:rFonts w:ascii="Arial" w:hAnsi="Arial" w:cs="Arial"/>
          <w:sz w:val="18"/>
          <w:szCs w:val="20"/>
        </w:rPr>
      </w:pPr>
    </w:p>
    <w:p w14:paraId="2D9B3B0A" w14:textId="77777777" w:rsidR="0094315E" w:rsidRDefault="0094315E" w:rsidP="0094315E">
      <w:pPr>
        <w:tabs>
          <w:tab w:val="left" w:pos="3967"/>
        </w:tabs>
        <w:ind w:left="284"/>
        <w:rPr>
          <w:rFonts w:ascii="Arial" w:hAnsi="Arial" w:cs="Arial"/>
          <w:sz w:val="18"/>
          <w:szCs w:val="20"/>
        </w:rPr>
      </w:pPr>
    </w:p>
    <w:p w14:paraId="3734BF7B" w14:textId="77777777" w:rsidR="0094315E" w:rsidRDefault="0094315E" w:rsidP="0094315E">
      <w:pPr>
        <w:tabs>
          <w:tab w:val="left" w:pos="3967"/>
        </w:tabs>
        <w:ind w:left="284"/>
        <w:rPr>
          <w:rFonts w:ascii="Arial" w:hAnsi="Arial" w:cs="Arial"/>
          <w:sz w:val="18"/>
          <w:szCs w:val="20"/>
        </w:rPr>
      </w:pPr>
    </w:p>
    <w:p w14:paraId="7DA2AB25" w14:textId="77777777" w:rsidR="0094315E" w:rsidRDefault="0094315E" w:rsidP="0094315E">
      <w:pPr>
        <w:tabs>
          <w:tab w:val="left" w:pos="3967"/>
        </w:tabs>
        <w:ind w:left="284"/>
        <w:rPr>
          <w:rFonts w:ascii="Arial" w:hAnsi="Arial" w:cs="Arial"/>
          <w:sz w:val="18"/>
          <w:szCs w:val="20"/>
        </w:rPr>
      </w:pPr>
    </w:p>
    <w:p w14:paraId="648CA5FF" w14:textId="77777777" w:rsidR="0094315E" w:rsidRDefault="0094315E" w:rsidP="0094315E">
      <w:pPr>
        <w:tabs>
          <w:tab w:val="left" w:pos="3967"/>
        </w:tabs>
        <w:ind w:left="284"/>
        <w:rPr>
          <w:rFonts w:ascii="Arial" w:hAnsi="Arial" w:cs="Arial"/>
          <w:sz w:val="18"/>
          <w:szCs w:val="20"/>
        </w:rPr>
      </w:pPr>
    </w:p>
    <w:p w14:paraId="02C915B6" w14:textId="77777777" w:rsidR="0094315E" w:rsidRDefault="0094315E" w:rsidP="0094315E">
      <w:pPr>
        <w:tabs>
          <w:tab w:val="left" w:pos="3967"/>
        </w:tabs>
        <w:ind w:left="284"/>
        <w:rPr>
          <w:rFonts w:ascii="Arial" w:hAnsi="Arial" w:cs="Arial"/>
          <w:sz w:val="18"/>
          <w:szCs w:val="20"/>
        </w:rPr>
      </w:pPr>
    </w:p>
    <w:p w14:paraId="77529412" w14:textId="77777777" w:rsidR="0094315E" w:rsidRDefault="0094315E" w:rsidP="0094315E">
      <w:pPr>
        <w:tabs>
          <w:tab w:val="left" w:pos="3967"/>
        </w:tabs>
        <w:ind w:left="284"/>
        <w:rPr>
          <w:rFonts w:ascii="Arial" w:hAnsi="Arial" w:cs="Arial"/>
          <w:sz w:val="18"/>
          <w:szCs w:val="20"/>
        </w:rPr>
      </w:pPr>
    </w:p>
    <w:p w14:paraId="36077625" w14:textId="77777777" w:rsidR="0094315E" w:rsidRDefault="0094315E" w:rsidP="0094315E">
      <w:pPr>
        <w:tabs>
          <w:tab w:val="left" w:pos="3967"/>
        </w:tabs>
        <w:ind w:left="284"/>
        <w:rPr>
          <w:rFonts w:ascii="Arial" w:hAnsi="Arial" w:cs="Arial"/>
          <w:sz w:val="18"/>
          <w:szCs w:val="20"/>
        </w:rPr>
      </w:pPr>
    </w:p>
    <w:p w14:paraId="574C40BB" w14:textId="77777777" w:rsidR="0094315E" w:rsidRDefault="0094315E" w:rsidP="0094315E">
      <w:pPr>
        <w:tabs>
          <w:tab w:val="left" w:pos="3967"/>
        </w:tabs>
        <w:ind w:left="284"/>
        <w:rPr>
          <w:rFonts w:ascii="Arial" w:hAnsi="Arial" w:cs="Arial"/>
          <w:sz w:val="18"/>
          <w:szCs w:val="20"/>
        </w:rPr>
      </w:pPr>
    </w:p>
    <w:p w14:paraId="235C373A" w14:textId="77777777" w:rsidR="0094315E" w:rsidRDefault="0094315E" w:rsidP="0094315E">
      <w:pPr>
        <w:tabs>
          <w:tab w:val="left" w:pos="3967"/>
        </w:tabs>
        <w:ind w:left="284"/>
        <w:rPr>
          <w:rFonts w:ascii="Arial" w:hAnsi="Arial" w:cs="Arial"/>
          <w:sz w:val="18"/>
          <w:szCs w:val="20"/>
        </w:rPr>
      </w:pPr>
      <w:bookmarkStart w:id="0" w:name="_GoBack"/>
      <w:bookmarkEnd w:id="0"/>
    </w:p>
    <w:p w14:paraId="2BD09D12" w14:textId="77777777" w:rsidR="0094315E" w:rsidRDefault="0094315E" w:rsidP="0094315E">
      <w:pPr>
        <w:tabs>
          <w:tab w:val="left" w:pos="3967"/>
        </w:tabs>
        <w:ind w:left="284"/>
        <w:rPr>
          <w:rFonts w:ascii="Arial" w:hAnsi="Arial" w:cs="Arial"/>
          <w:sz w:val="18"/>
          <w:szCs w:val="20"/>
        </w:rPr>
      </w:pPr>
    </w:p>
    <w:p w14:paraId="1FFCD6A6" w14:textId="451B5DA5" w:rsidR="00245F41" w:rsidRPr="0094315E" w:rsidRDefault="0094315E" w:rsidP="0094315E">
      <w:pPr>
        <w:pBdr>
          <w:top w:val="single" w:sz="4" w:space="2" w:color="auto"/>
          <w:left w:val="single" w:sz="4" w:space="4" w:color="auto"/>
          <w:bottom w:val="single" w:sz="4" w:space="6" w:color="auto"/>
          <w:right w:val="single" w:sz="4" w:space="0" w:color="auto"/>
        </w:pBdr>
        <w:ind w:left="426" w:right="3236"/>
        <w:rPr>
          <w:rFonts w:ascii="Arial" w:hAnsi="Arial" w:cs="Arial"/>
          <w:color w:val="333333"/>
          <w:sz w:val="22"/>
          <w:szCs w:val="22"/>
          <w:shd w:val="clear" w:color="auto" w:fill="FFFFFF"/>
        </w:rPr>
      </w:pPr>
      <w:r>
        <w:rPr>
          <w:rFonts w:ascii="Arial" w:hAnsi="Arial" w:cs="Arial"/>
          <w:b/>
          <w:bCs/>
          <w:sz w:val="22"/>
          <w:szCs w:val="22"/>
        </w:rPr>
        <w:lastRenderedPageBreak/>
        <w:t xml:space="preserve">When operating in the EEA, Rathbone Unit Trust Management works in partnership with a tied agent. In Europe we market our funds through Rathbone Funds Advisers, </w:t>
      </w:r>
      <w:proofErr w:type="spellStart"/>
      <w:r>
        <w:rPr>
          <w:rFonts w:ascii="Arial" w:hAnsi="Arial" w:cs="Arial"/>
          <w:b/>
          <w:bCs/>
          <w:sz w:val="22"/>
          <w:szCs w:val="22"/>
        </w:rPr>
        <w:t>Unipessoal</w:t>
      </w:r>
      <w:proofErr w:type="spellEnd"/>
      <w:r>
        <w:rPr>
          <w:rFonts w:ascii="Arial" w:hAnsi="Arial" w:cs="Arial"/>
          <w:b/>
          <w:bCs/>
          <w:sz w:val="22"/>
          <w:szCs w:val="22"/>
        </w:rPr>
        <w:t xml:space="preserve"> </w:t>
      </w:r>
      <w:proofErr w:type="spellStart"/>
      <w:r>
        <w:rPr>
          <w:rFonts w:ascii="Arial" w:hAnsi="Arial" w:cs="Arial"/>
          <w:b/>
          <w:bCs/>
          <w:sz w:val="22"/>
          <w:szCs w:val="22"/>
        </w:rPr>
        <w:t>Lda</w:t>
      </w:r>
      <w:proofErr w:type="spellEnd"/>
      <w:r>
        <w:rPr>
          <w:rFonts w:ascii="Arial" w:hAnsi="Arial" w:cs="Arial"/>
          <w:b/>
          <w:bCs/>
          <w:sz w:val="22"/>
          <w:szCs w:val="22"/>
        </w:rPr>
        <w:t xml:space="preserve">. (“Rathbone Funds Advisers”) a company acting as a tied agent to Carne Global Financial Services (Europe), </w:t>
      </w:r>
      <w:proofErr w:type="spellStart"/>
      <w:r>
        <w:rPr>
          <w:rFonts w:ascii="Arial" w:hAnsi="Arial" w:cs="Arial"/>
          <w:b/>
          <w:bCs/>
          <w:sz w:val="22"/>
          <w:szCs w:val="22"/>
        </w:rPr>
        <w:t>Unipessoal</w:t>
      </w:r>
      <w:proofErr w:type="spellEnd"/>
      <w:r>
        <w:rPr>
          <w:rFonts w:ascii="Arial" w:hAnsi="Arial" w:cs="Arial"/>
          <w:b/>
          <w:bCs/>
          <w:sz w:val="22"/>
          <w:szCs w:val="22"/>
        </w:rPr>
        <w:t xml:space="preserve"> </w:t>
      </w:r>
      <w:proofErr w:type="spellStart"/>
      <w:r>
        <w:rPr>
          <w:rFonts w:ascii="Arial" w:hAnsi="Arial" w:cs="Arial"/>
          <w:b/>
          <w:bCs/>
          <w:sz w:val="22"/>
          <w:szCs w:val="22"/>
        </w:rPr>
        <w:t>Lda</w:t>
      </w:r>
      <w:proofErr w:type="spellEnd"/>
      <w:r>
        <w:rPr>
          <w:rFonts w:ascii="Arial" w:hAnsi="Arial" w:cs="Arial"/>
          <w:b/>
          <w:bCs/>
          <w:sz w:val="22"/>
          <w:szCs w:val="22"/>
        </w:rPr>
        <w:t>. (“Carne Global”) which is an investment advisory firm authorised under MiFID II and supervised by the Portuguese Securities Market Commission - the CMVM (</w:t>
      </w:r>
      <w:proofErr w:type="spellStart"/>
      <w:r>
        <w:rPr>
          <w:rFonts w:ascii="Arial" w:hAnsi="Arial" w:cs="Arial"/>
          <w:b/>
          <w:bCs/>
          <w:sz w:val="22"/>
          <w:szCs w:val="22"/>
        </w:rPr>
        <w:t>Comissão</w:t>
      </w:r>
      <w:proofErr w:type="spellEnd"/>
      <w:r>
        <w:rPr>
          <w:rFonts w:ascii="Arial" w:hAnsi="Arial" w:cs="Arial"/>
          <w:b/>
          <w:bCs/>
          <w:sz w:val="22"/>
          <w:szCs w:val="22"/>
        </w:rPr>
        <w:t xml:space="preserve"> do Mercado de </w:t>
      </w:r>
      <w:proofErr w:type="spellStart"/>
      <w:r>
        <w:rPr>
          <w:rFonts w:ascii="Arial" w:hAnsi="Arial" w:cs="Arial"/>
          <w:b/>
          <w:bCs/>
          <w:sz w:val="22"/>
          <w:szCs w:val="22"/>
        </w:rPr>
        <w:t>Valores</w:t>
      </w:r>
      <w:proofErr w:type="spellEnd"/>
      <w:r>
        <w:rPr>
          <w:rFonts w:ascii="Arial" w:hAnsi="Arial" w:cs="Arial"/>
          <w:b/>
          <w:bCs/>
          <w:sz w:val="22"/>
          <w:szCs w:val="22"/>
        </w:rPr>
        <w:t xml:space="preserve"> </w:t>
      </w:r>
      <w:proofErr w:type="spellStart"/>
      <w:r>
        <w:rPr>
          <w:rFonts w:ascii="Arial" w:hAnsi="Arial" w:cs="Arial"/>
          <w:b/>
          <w:bCs/>
          <w:sz w:val="22"/>
          <w:szCs w:val="22"/>
        </w:rPr>
        <w:t>Mobiliários</w:t>
      </w:r>
      <w:proofErr w:type="spellEnd"/>
      <w:r>
        <w:rPr>
          <w:rFonts w:ascii="Arial" w:hAnsi="Arial" w:cs="Arial"/>
          <w:b/>
          <w:bCs/>
          <w:sz w:val="22"/>
          <w:szCs w:val="22"/>
        </w:rPr>
        <w:t>). Rathbone Funds Advisers is registered in Portugal and has been appointed by Carne Global to provide investment advisory services on its behalf in relation to financial instruments, in particular units or shares in undertakings for collective investments.</w:t>
      </w:r>
      <w:r>
        <w:rPr>
          <w:rFonts w:ascii="Arial" w:hAnsi="Arial" w:cs="Arial"/>
          <w:color w:val="333333"/>
          <w:sz w:val="22"/>
          <w:szCs w:val="22"/>
          <w:shd w:val="clear" w:color="auto" w:fill="FFFFFF"/>
        </w:rPr>
        <w:t xml:space="preserve"> </w:t>
      </w:r>
    </w:p>
    <w:p w14:paraId="41C364D0" w14:textId="77777777" w:rsidR="00245F41" w:rsidRPr="00180BE6" w:rsidRDefault="00245F41" w:rsidP="00180BE6">
      <w:pPr>
        <w:tabs>
          <w:tab w:val="left" w:pos="3967"/>
        </w:tabs>
        <w:rPr>
          <w:rFonts w:ascii="Arial" w:hAnsi="Arial" w:cs="Arial"/>
          <w:sz w:val="18"/>
          <w:szCs w:val="20"/>
        </w:rPr>
      </w:pPr>
    </w:p>
    <w:sectPr w:rsidR="00245F41" w:rsidRPr="00180BE6" w:rsidSect="00245F41">
      <w:footerReference w:type="default" r:id="rId10"/>
      <w:headerReference w:type="first" r:id="rId11"/>
      <w:pgSz w:w="11906" w:h="16838" w:code="9"/>
      <w:pgMar w:top="720" w:right="720" w:bottom="720" w:left="720"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37B22" w14:textId="77777777" w:rsidR="00352041" w:rsidRDefault="00352041" w:rsidP="007A6C88">
      <w:r>
        <w:separator/>
      </w:r>
    </w:p>
  </w:endnote>
  <w:endnote w:type="continuationSeparator" w:id="0">
    <w:p w14:paraId="0CCB78BA" w14:textId="77777777" w:rsidR="00352041" w:rsidRDefault="00352041" w:rsidP="007A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5EDFD" w14:textId="3FA9C2FE" w:rsidR="009A70A8" w:rsidRDefault="0094315E" w:rsidP="009A70A8">
    <w:pPr>
      <w:pStyle w:val="Footer"/>
    </w:pPr>
    <w:r>
      <w:rPr>
        <w:noProof/>
      </w:rPr>
      <w:drawing>
        <wp:anchor distT="0" distB="0" distL="114300" distR="114300" simplePos="0" relativeHeight="251658240" behindDoc="0" locked="0" layoutInCell="1" allowOverlap="1" wp14:anchorId="36438EE2" wp14:editId="2D9E2721">
          <wp:simplePos x="0" y="0"/>
          <wp:positionH relativeFrom="column">
            <wp:posOffset>0</wp:posOffset>
          </wp:positionH>
          <wp:positionV relativeFrom="paragraph">
            <wp:posOffset>-875665</wp:posOffset>
          </wp:positionV>
          <wp:extent cx="6548120" cy="154432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48120" cy="1544320"/>
                  </a:xfrm>
                  <a:prstGeom prst="rect">
                    <a:avLst/>
                  </a:prstGeom>
                </pic:spPr>
              </pic:pic>
            </a:graphicData>
          </a:graphic>
          <wp14:sizeRelH relativeFrom="page">
            <wp14:pctWidth>0</wp14:pctWidth>
          </wp14:sizeRelH>
          <wp14:sizeRelV relativeFrom="page">
            <wp14:pctHeight>0</wp14:pctHeight>
          </wp14:sizeRelV>
        </wp:anchor>
      </w:drawing>
    </w:r>
  </w:p>
  <w:p w14:paraId="7BE7DA33" w14:textId="77777777" w:rsidR="009A70A8" w:rsidRDefault="009A70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715FD" w14:textId="77777777" w:rsidR="00352041" w:rsidRDefault="00352041" w:rsidP="007A6C88">
      <w:r>
        <w:separator/>
      </w:r>
    </w:p>
  </w:footnote>
  <w:footnote w:type="continuationSeparator" w:id="0">
    <w:p w14:paraId="2A938F1E" w14:textId="77777777" w:rsidR="00352041" w:rsidRDefault="00352041" w:rsidP="007A6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08F58" w14:textId="63A6557F" w:rsidR="00BA19CC" w:rsidRDefault="0094315E" w:rsidP="00066C21">
    <w:pPr>
      <w:pStyle w:val="Header"/>
      <w:tabs>
        <w:tab w:val="clear" w:pos="4513"/>
        <w:tab w:val="clear" w:pos="9026"/>
        <w:tab w:val="left" w:pos="3000"/>
        <w:tab w:val="left" w:pos="3060"/>
        <w:tab w:val="left" w:pos="3450"/>
      </w:tabs>
    </w:pPr>
    <w:r>
      <w:rPr>
        <w:noProof/>
      </w:rPr>
      <w:drawing>
        <wp:inline distT="0" distB="0" distL="0" distR="0" wp14:anchorId="7F2ACFDC" wp14:editId="28752C40">
          <wp:extent cx="6548120" cy="555625"/>
          <wp:effectExtent l="0" t="0" r="5080" b="0"/>
          <wp:docPr id="22" name="Picture 1"/>
          <wp:cNvGraphicFramePr/>
          <a:graphic xmlns:a="http://schemas.openxmlformats.org/drawingml/2006/main">
            <a:graphicData uri="http://schemas.openxmlformats.org/drawingml/2006/picture">
              <pic:pic xmlns:pic="http://schemas.openxmlformats.org/drawingml/2006/picture">
                <pic:nvPicPr>
                  <pic:cNvPr id="22"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48120" cy="5556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57EB"/>
    <w:multiLevelType w:val="hybridMultilevel"/>
    <w:tmpl w:val="BE0687F8"/>
    <w:lvl w:ilvl="0" w:tplc="5A5C18B2">
      <w:numFmt w:val="bullet"/>
      <w:lvlText w:val="-"/>
      <w:lvlJc w:val="left"/>
      <w:pPr>
        <w:ind w:left="720" w:hanging="360"/>
      </w:pPr>
      <w:rPr>
        <w:rFonts w:ascii="Georgia" w:eastAsia="Times New Roman" w:hAnsi="Georgia"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56D0B"/>
    <w:multiLevelType w:val="hybridMultilevel"/>
    <w:tmpl w:val="0DE2E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8C6D68"/>
    <w:multiLevelType w:val="hybridMultilevel"/>
    <w:tmpl w:val="6C30E7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8E4C1B"/>
    <w:multiLevelType w:val="hybridMultilevel"/>
    <w:tmpl w:val="BB7C1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3A7E39"/>
    <w:multiLevelType w:val="hybridMultilevel"/>
    <w:tmpl w:val="5CE06820"/>
    <w:lvl w:ilvl="0" w:tplc="60C4B8A8">
      <w:start w:val="1"/>
      <w:numFmt w:val="bullet"/>
      <w:lvlText w:val="—"/>
      <w:lvlJc w:val="left"/>
      <w:pPr>
        <w:ind w:left="1440" w:hanging="360"/>
      </w:pPr>
      <w:rPr>
        <w:rFonts w:ascii="Georgia" w:hAnsi="Georgi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77E26CC"/>
    <w:multiLevelType w:val="hybridMultilevel"/>
    <w:tmpl w:val="D1B6E402"/>
    <w:lvl w:ilvl="0" w:tplc="EA56807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C1E1026"/>
    <w:multiLevelType w:val="hybridMultilevel"/>
    <w:tmpl w:val="B606756E"/>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022CCB"/>
    <w:multiLevelType w:val="hybridMultilevel"/>
    <w:tmpl w:val="2EA008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7"/>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evenAndOddHeaders/>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A6C88"/>
    <w:rsid w:val="00000D68"/>
    <w:rsid w:val="00010521"/>
    <w:rsid w:val="00012EF5"/>
    <w:rsid w:val="000141DE"/>
    <w:rsid w:val="00021809"/>
    <w:rsid w:val="00030E72"/>
    <w:rsid w:val="000313AD"/>
    <w:rsid w:val="00041315"/>
    <w:rsid w:val="00044AC3"/>
    <w:rsid w:val="00045E3A"/>
    <w:rsid w:val="00057AE0"/>
    <w:rsid w:val="00066C21"/>
    <w:rsid w:val="000765F2"/>
    <w:rsid w:val="000774CC"/>
    <w:rsid w:val="00077717"/>
    <w:rsid w:val="000A004F"/>
    <w:rsid w:val="000C2D17"/>
    <w:rsid w:val="000C37EC"/>
    <w:rsid w:val="000C594F"/>
    <w:rsid w:val="000D46AD"/>
    <w:rsid w:val="000D6A89"/>
    <w:rsid w:val="000E03A8"/>
    <w:rsid w:val="000E7ED3"/>
    <w:rsid w:val="00102DD9"/>
    <w:rsid w:val="001040FD"/>
    <w:rsid w:val="00112D19"/>
    <w:rsid w:val="0011440D"/>
    <w:rsid w:val="00122354"/>
    <w:rsid w:val="00133DE1"/>
    <w:rsid w:val="001350CA"/>
    <w:rsid w:val="00135F25"/>
    <w:rsid w:val="0013692D"/>
    <w:rsid w:val="001429DD"/>
    <w:rsid w:val="001563D7"/>
    <w:rsid w:val="00157A41"/>
    <w:rsid w:val="00157A9F"/>
    <w:rsid w:val="0016211E"/>
    <w:rsid w:val="00166B61"/>
    <w:rsid w:val="00170716"/>
    <w:rsid w:val="0017268E"/>
    <w:rsid w:val="001726F1"/>
    <w:rsid w:val="00180BE6"/>
    <w:rsid w:val="00183E92"/>
    <w:rsid w:val="001A0777"/>
    <w:rsid w:val="001B23D3"/>
    <w:rsid w:val="001B5774"/>
    <w:rsid w:val="001B6332"/>
    <w:rsid w:val="001D4F2A"/>
    <w:rsid w:val="001F6ECE"/>
    <w:rsid w:val="00226CD7"/>
    <w:rsid w:val="0023726E"/>
    <w:rsid w:val="00241CBF"/>
    <w:rsid w:val="00245F41"/>
    <w:rsid w:val="00254BC4"/>
    <w:rsid w:val="00255F42"/>
    <w:rsid w:val="00262830"/>
    <w:rsid w:val="002715AD"/>
    <w:rsid w:val="00290396"/>
    <w:rsid w:val="0029445A"/>
    <w:rsid w:val="00297EB6"/>
    <w:rsid w:val="002A6403"/>
    <w:rsid w:val="002B3690"/>
    <w:rsid w:val="002B7084"/>
    <w:rsid w:val="002C59C8"/>
    <w:rsid w:val="002D0CAC"/>
    <w:rsid w:val="002E1EB6"/>
    <w:rsid w:val="002F12B3"/>
    <w:rsid w:val="002F3412"/>
    <w:rsid w:val="002F5D72"/>
    <w:rsid w:val="002F60C3"/>
    <w:rsid w:val="00303C74"/>
    <w:rsid w:val="003042AB"/>
    <w:rsid w:val="00311CF8"/>
    <w:rsid w:val="00313FD2"/>
    <w:rsid w:val="00331A3C"/>
    <w:rsid w:val="003321C9"/>
    <w:rsid w:val="003334B6"/>
    <w:rsid w:val="00352041"/>
    <w:rsid w:val="00356351"/>
    <w:rsid w:val="00356D3A"/>
    <w:rsid w:val="00363C9A"/>
    <w:rsid w:val="003853B3"/>
    <w:rsid w:val="003862E9"/>
    <w:rsid w:val="00394F5D"/>
    <w:rsid w:val="003955D4"/>
    <w:rsid w:val="003A1136"/>
    <w:rsid w:val="003A699D"/>
    <w:rsid w:val="003B0597"/>
    <w:rsid w:val="003B39D1"/>
    <w:rsid w:val="003B52FD"/>
    <w:rsid w:val="003C0107"/>
    <w:rsid w:val="003C23A9"/>
    <w:rsid w:val="003C2D2A"/>
    <w:rsid w:val="003D1F22"/>
    <w:rsid w:val="003E4535"/>
    <w:rsid w:val="003E4BF8"/>
    <w:rsid w:val="003F093C"/>
    <w:rsid w:val="003F211B"/>
    <w:rsid w:val="00402108"/>
    <w:rsid w:val="00410B00"/>
    <w:rsid w:val="00436FCE"/>
    <w:rsid w:val="0047338C"/>
    <w:rsid w:val="00474F7B"/>
    <w:rsid w:val="004A725E"/>
    <w:rsid w:val="004B4AB7"/>
    <w:rsid w:val="004C45BF"/>
    <w:rsid w:val="004C5F2F"/>
    <w:rsid w:val="004D341B"/>
    <w:rsid w:val="004D708F"/>
    <w:rsid w:val="004F00A3"/>
    <w:rsid w:val="004F7477"/>
    <w:rsid w:val="00501483"/>
    <w:rsid w:val="00505783"/>
    <w:rsid w:val="00525C95"/>
    <w:rsid w:val="00531FA4"/>
    <w:rsid w:val="005345B3"/>
    <w:rsid w:val="00536F86"/>
    <w:rsid w:val="0055775F"/>
    <w:rsid w:val="00562AE6"/>
    <w:rsid w:val="00577001"/>
    <w:rsid w:val="0058277C"/>
    <w:rsid w:val="00582789"/>
    <w:rsid w:val="0058707A"/>
    <w:rsid w:val="005A4409"/>
    <w:rsid w:val="005B028B"/>
    <w:rsid w:val="005B1818"/>
    <w:rsid w:val="005B1BC9"/>
    <w:rsid w:val="005C1B52"/>
    <w:rsid w:val="005C76FE"/>
    <w:rsid w:val="005D4ABE"/>
    <w:rsid w:val="005D58DC"/>
    <w:rsid w:val="005E4BF9"/>
    <w:rsid w:val="005E55DC"/>
    <w:rsid w:val="005F179E"/>
    <w:rsid w:val="00601942"/>
    <w:rsid w:val="0060286B"/>
    <w:rsid w:val="0060715D"/>
    <w:rsid w:val="0063290E"/>
    <w:rsid w:val="00640586"/>
    <w:rsid w:val="00646647"/>
    <w:rsid w:val="00650B6F"/>
    <w:rsid w:val="00651387"/>
    <w:rsid w:val="0067583A"/>
    <w:rsid w:val="006929E4"/>
    <w:rsid w:val="00696297"/>
    <w:rsid w:val="006A3DC6"/>
    <w:rsid w:val="006D6520"/>
    <w:rsid w:val="006D776E"/>
    <w:rsid w:val="006E0954"/>
    <w:rsid w:val="006E7244"/>
    <w:rsid w:val="006F5BBF"/>
    <w:rsid w:val="0070142D"/>
    <w:rsid w:val="00712468"/>
    <w:rsid w:val="007378CE"/>
    <w:rsid w:val="00737AB4"/>
    <w:rsid w:val="00751576"/>
    <w:rsid w:val="00751EC7"/>
    <w:rsid w:val="00763CF8"/>
    <w:rsid w:val="00764507"/>
    <w:rsid w:val="0077610C"/>
    <w:rsid w:val="00776218"/>
    <w:rsid w:val="00787F31"/>
    <w:rsid w:val="00791A63"/>
    <w:rsid w:val="007A2E4D"/>
    <w:rsid w:val="007A3098"/>
    <w:rsid w:val="007A6C88"/>
    <w:rsid w:val="007B4170"/>
    <w:rsid w:val="007C070E"/>
    <w:rsid w:val="007F257A"/>
    <w:rsid w:val="007F283C"/>
    <w:rsid w:val="0080192E"/>
    <w:rsid w:val="00801DBB"/>
    <w:rsid w:val="00817E24"/>
    <w:rsid w:val="00822713"/>
    <w:rsid w:val="00831CBA"/>
    <w:rsid w:val="00835A95"/>
    <w:rsid w:val="008453B0"/>
    <w:rsid w:val="008556A6"/>
    <w:rsid w:val="00867A64"/>
    <w:rsid w:val="00872024"/>
    <w:rsid w:val="00875454"/>
    <w:rsid w:val="00875AF6"/>
    <w:rsid w:val="00877720"/>
    <w:rsid w:val="00883120"/>
    <w:rsid w:val="00885189"/>
    <w:rsid w:val="00893828"/>
    <w:rsid w:val="00893F74"/>
    <w:rsid w:val="008965D2"/>
    <w:rsid w:val="008A0ECE"/>
    <w:rsid w:val="008A1818"/>
    <w:rsid w:val="008A2CDB"/>
    <w:rsid w:val="008A6A1F"/>
    <w:rsid w:val="008B3BA8"/>
    <w:rsid w:val="008C588D"/>
    <w:rsid w:val="008C5F3D"/>
    <w:rsid w:val="008D3B30"/>
    <w:rsid w:val="008D704E"/>
    <w:rsid w:val="008E1EB9"/>
    <w:rsid w:val="008E2D01"/>
    <w:rsid w:val="008F14C2"/>
    <w:rsid w:val="008F182E"/>
    <w:rsid w:val="008F6DD3"/>
    <w:rsid w:val="00900D39"/>
    <w:rsid w:val="00906BA8"/>
    <w:rsid w:val="009170FA"/>
    <w:rsid w:val="00930B10"/>
    <w:rsid w:val="00932C8C"/>
    <w:rsid w:val="0094315E"/>
    <w:rsid w:val="00944266"/>
    <w:rsid w:val="0094725E"/>
    <w:rsid w:val="00970A96"/>
    <w:rsid w:val="00977197"/>
    <w:rsid w:val="0098137A"/>
    <w:rsid w:val="009843DC"/>
    <w:rsid w:val="00990A52"/>
    <w:rsid w:val="009A31A9"/>
    <w:rsid w:val="009A6909"/>
    <w:rsid w:val="009A70A8"/>
    <w:rsid w:val="009B63AC"/>
    <w:rsid w:val="009B6D99"/>
    <w:rsid w:val="009D0BB2"/>
    <w:rsid w:val="009E0038"/>
    <w:rsid w:val="009E536D"/>
    <w:rsid w:val="009E6688"/>
    <w:rsid w:val="009F0D79"/>
    <w:rsid w:val="009F2550"/>
    <w:rsid w:val="009F4C18"/>
    <w:rsid w:val="00A00E7F"/>
    <w:rsid w:val="00A03367"/>
    <w:rsid w:val="00A06C4B"/>
    <w:rsid w:val="00A2659D"/>
    <w:rsid w:val="00A474B7"/>
    <w:rsid w:val="00A5370B"/>
    <w:rsid w:val="00A54DE9"/>
    <w:rsid w:val="00A5651D"/>
    <w:rsid w:val="00A604A6"/>
    <w:rsid w:val="00A60C1E"/>
    <w:rsid w:val="00A7058D"/>
    <w:rsid w:val="00A7735D"/>
    <w:rsid w:val="00A920B7"/>
    <w:rsid w:val="00AB4B77"/>
    <w:rsid w:val="00AC0B1E"/>
    <w:rsid w:val="00AC28A4"/>
    <w:rsid w:val="00AE295D"/>
    <w:rsid w:val="00AE52BA"/>
    <w:rsid w:val="00B03822"/>
    <w:rsid w:val="00B06257"/>
    <w:rsid w:val="00B3064B"/>
    <w:rsid w:val="00B30F1F"/>
    <w:rsid w:val="00B3260B"/>
    <w:rsid w:val="00B376B8"/>
    <w:rsid w:val="00B43D33"/>
    <w:rsid w:val="00B44CC5"/>
    <w:rsid w:val="00B45972"/>
    <w:rsid w:val="00B45FF2"/>
    <w:rsid w:val="00B53A84"/>
    <w:rsid w:val="00B5740E"/>
    <w:rsid w:val="00B64E16"/>
    <w:rsid w:val="00B663FA"/>
    <w:rsid w:val="00B72DA6"/>
    <w:rsid w:val="00B758D2"/>
    <w:rsid w:val="00B9657C"/>
    <w:rsid w:val="00BA0E5A"/>
    <w:rsid w:val="00BA19CC"/>
    <w:rsid w:val="00BA6602"/>
    <w:rsid w:val="00BA6C7F"/>
    <w:rsid w:val="00BB1872"/>
    <w:rsid w:val="00BB25F5"/>
    <w:rsid w:val="00BC2A98"/>
    <w:rsid w:val="00BD0752"/>
    <w:rsid w:val="00BD0F5B"/>
    <w:rsid w:val="00BE44C9"/>
    <w:rsid w:val="00BF14E5"/>
    <w:rsid w:val="00C00CBF"/>
    <w:rsid w:val="00C01C6A"/>
    <w:rsid w:val="00C108EA"/>
    <w:rsid w:val="00C320AC"/>
    <w:rsid w:val="00C45D8D"/>
    <w:rsid w:val="00C526D5"/>
    <w:rsid w:val="00C564D9"/>
    <w:rsid w:val="00C57428"/>
    <w:rsid w:val="00C57AD7"/>
    <w:rsid w:val="00C643E7"/>
    <w:rsid w:val="00C65558"/>
    <w:rsid w:val="00C72AFB"/>
    <w:rsid w:val="00C8458C"/>
    <w:rsid w:val="00C92288"/>
    <w:rsid w:val="00C930EC"/>
    <w:rsid w:val="00C93AFC"/>
    <w:rsid w:val="00CB5E15"/>
    <w:rsid w:val="00CC28FE"/>
    <w:rsid w:val="00CD0C74"/>
    <w:rsid w:val="00CD0F71"/>
    <w:rsid w:val="00CD411D"/>
    <w:rsid w:val="00CF5E73"/>
    <w:rsid w:val="00CF6AE1"/>
    <w:rsid w:val="00D0135D"/>
    <w:rsid w:val="00D12AD9"/>
    <w:rsid w:val="00D17783"/>
    <w:rsid w:val="00D21699"/>
    <w:rsid w:val="00D2417D"/>
    <w:rsid w:val="00D27DFE"/>
    <w:rsid w:val="00D34F7C"/>
    <w:rsid w:val="00D45C33"/>
    <w:rsid w:val="00D620AB"/>
    <w:rsid w:val="00D87F07"/>
    <w:rsid w:val="00D90425"/>
    <w:rsid w:val="00D90D0F"/>
    <w:rsid w:val="00D953A5"/>
    <w:rsid w:val="00DA2B8D"/>
    <w:rsid w:val="00DB3B37"/>
    <w:rsid w:val="00DB6010"/>
    <w:rsid w:val="00DC5E5B"/>
    <w:rsid w:val="00DD0521"/>
    <w:rsid w:val="00DD15C8"/>
    <w:rsid w:val="00DD1DB5"/>
    <w:rsid w:val="00DD7816"/>
    <w:rsid w:val="00DE357B"/>
    <w:rsid w:val="00DF0389"/>
    <w:rsid w:val="00DF6D09"/>
    <w:rsid w:val="00E03DD1"/>
    <w:rsid w:val="00E06444"/>
    <w:rsid w:val="00E34842"/>
    <w:rsid w:val="00E506C4"/>
    <w:rsid w:val="00E51651"/>
    <w:rsid w:val="00E541FC"/>
    <w:rsid w:val="00E54AF2"/>
    <w:rsid w:val="00E55E26"/>
    <w:rsid w:val="00E73928"/>
    <w:rsid w:val="00E75C44"/>
    <w:rsid w:val="00E84A5D"/>
    <w:rsid w:val="00E8792F"/>
    <w:rsid w:val="00E90AC2"/>
    <w:rsid w:val="00E91978"/>
    <w:rsid w:val="00E92998"/>
    <w:rsid w:val="00E955C2"/>
    <w:rsid w:val="00EA2AF3"/>
    <w:rsid w:val="00EA42F8"/>
    <w:rsid w:val="00EB3855"/>
    <w:rsid w:val="00EC0949"/>
    <w:rsid w:val="00EC0A45"/>
    <w:rsid w:val="00EC3653"/>
    <w:rsid w:val="00ED1FB2"/>
    <w:rsid w:val="00ED4C31"/>
    <w:rsid w:val="00EE02A8"/>
    <w:rsid w:val="00EE4748"/>
    <w:rsid w:val="00EE7B6F"/>
    <w:rsid w:val="00EF4F46"/>
    <w:rsid w:val="00EF6830"/>
    <w:rsid w:val="00F10545"/>
    <w:rsid w:val="00F10B4E"/>
    <w:rsid w:val="00F15B2A"/>
    <w:rsid w:val="00F175C5"/>
    <w:rsid w:val="00F2734C"/>
    <w:rsid w:val="00F35075"/>
    <w:rsid w:val="00F36DCA"/>
    <w:rsid w:val="00F43E85"/>
    <w:rsid w:val="00F70AAB"/>
    <w:rsid w:val="00F77091"/>
    <w:rsid w:val="00F814CC"/>
    <w:rsid w:val="00F95758"/>
    <w:rsid w:val="00F973A7"/>
    <w:rsid w:val="00FB00DA"/>
    <w:rsid w:val="00FB6C2D"/>
    <w:rsid w:val="00FD5A8A"/>
    <w:rsid w:val="00FE5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BBC5FA"/>
  <w15:docId w15:val="{65BA711B-F8F0-4CEB-B257-3DAF59CE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C88"/>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C88"/>
    <w:pPr>
      <w:tabs>
        <w:tab w:val="center" w:pos="4513"/>
        <w:tab w:val="right" w:pos="9026"/>
      </w:tabs>
    </w:pPr>
  </w:style>
  <w:style w:type="character" w:customStyle="1" w:styleId="HeaderChar">
    <w:name w:val="Header Char"/>
    <w:basedOn w:val="DefaultParagraphFont"/>
    <w:link w:val="Header"/>
    <w:uiPriority w:val="99"/>
    <w:rsid w:val="007A6C88"/>
  </w:style>
  <w:style w:type="paragraph" w:styleId="Footer">
    <w:name w:val="footer"/>
    <w:basedOn w:val="Normal"/>
    <w:link w:val="FooterChar"/>
    <w:uiPriority w:val="99"/>
    <w:unhideWhenUsed/>
    <w:rsid w:val="007A6C88"/>
    <w:pPr>
      <w:tabs>
        <w:tab w:val="center" w:pos="4513"/>
        <w:tab w:val="right" w:pos="9026"/>
      </w:tabs>
    </w:pPr>
  </w:style>
  <w:style w:type="character" w:customStyle="1" w:styleId="FooterChar">
    <w:name w:val="Footer Char"/>
    <w:basedOn w:val="DefaultParagraphFont"/>
    <w:link w:val="Footer"/>
    <w:uiPriority w:val="99"/>
    <w:rsid w:val="007A6C88"/>
  </w:style>
  <w:style w:type="paragraph" w:styleId="BalloonText">
    <w:name w:val="Balloon Text"/>
    <w:basedOn w:val="Normal"/>
    <w:link w:val="BalloonTextChar"/>
    <w:uiPriority w:val="99"/>
    <w:semiHidden/>
    <w:unhideWhenUsed/>
    <w:rsid w:val="007A6C88"/>
    <w:rPr>
      <w:rFonts w:ascii="Tahoma" w:hAnsi="Tahoma" w:cs="Tahoma"/>
      <w:sz w:val="16"/>
      <w:szCs w:val="16"/>
    </w:rPr>
  </w:style>
  <w:style w:type="character" w:customStyle="1" w:styleId="BalloonTextChar">
    <w:name w:val="Balloon Text Char"/>
    <w:basedOn w:val="DefaultParagraphFont"/>
    <w:link w:val="BalloonText"/>
    <w:uiPriority w:val="99"/>
    <w:semiHidden/>
    <w:rsid w:val="007A6C88"/>
    <w:rPr>
      <w:rFonts w:ascii="Tahoma" w:hAnsi="Tahoma" w:cs="Tahoma"/>
      <w:sz w:val="16"/>
      <w:szCs w:val="16"/>
    </w:rPr>
  </w:style>
  <w:style w:type="paragraph" w:styleId="ListParagraph">
    <w:name w:val="List Paragraph"/>
    <w:basedOn w:val="Normal"/>
    <w:uiPriority w:val="34"/>
    <w:qFormat/>
    <w:rsid w:val="00B45FF2"/>
    <w:pPr>
      <w:ind w:left="720"/>
      <w:contextualSpacing/>
    </w:pPr>
  </w:style>
  <w:style w:type="table" w:customStyle="1" w:styleId="LightShading-Accent11">
    <w:name w:val="Light Shading - Accent 11"/>
    <w:basedOn w:val="TableNormal"/>
    <w:uiPriority w:val="60"/>
    <w:rsid w:val="00133DE1"/>
    <w:pPr>
      <w:spacing w:after="0" w:line="240" w:lineRule="auto"/>
    </w:pPr>
    <w:rPr>
      <w:rFonts w:ascii="Times New Roman" w:eastAsia="Times New Roman" w:hAnsi="Times New Roman" w:cs="Times New Roman"/>
      <w:color w:val="365F91" w:themeColor="accent1" w:themeShade="BF"/>
      <w:sz w:val="20"/>
      <w:szCs w:val="20"/>
      <w:lang w:eastAsia="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2">
    <w:name w:val="Light Shading - Accent 12"/>
    <w:basedOn w:val="TableNormal"/>
    <w:uiPriority w:val="60"/>
    <w:rsid w:val="00D0135D"/>
    <w:pPr>
      <w:spacing w:after="0" w:line="240" w:lineRule="auto"/>
    </w:pPr>
    <w:rPr>
      <w:rFonts w:ascii="Times New Roman" w:eastAsia="Times New Roman" w:hAnsi="Times New Roman" w:cs="Times New Roman"/>
      <w:color w:val="365F91" w:themeColor="accent1" w:themeShade="BF"/>
      <w:sz w:val="20"/>
      <w:szCs w:val="20"/>
      <w:lang w:eastAsia="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converted-space">
    <w:name w:val="apple-converted-space"/>
    <w:basedOn w:val="DefaultParagraphFont"/>
    <w:rsid w:val="0060715D"/>
  </w:style>
  <w:style w:type="character" w:styleId="Emphasis">
    <w:name w:val="Emphasis"/>
    <w:basedOn w:val="DefaultParagraphFont"/>
    <w:uiPriority w:val="20"/>
    <w:qFormat/>
    <w:rsid w:val="0060715D"/>
    <w:rPr>
      <w:i/>
      <w:iCs/>
    </w:rPr>
  </w:style>
  <w:style w:type="table" w:styleId="TableGrid">
    <w:name w:val="Table Grid"/>
    <w:basedOn w:val="TableNormal"/>
    <w:uiPriority w:val="39"/>
    <w:rsid w:val="00E92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A660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styleId="CommentReference">
    <w:name w:val="annotation reference"/>
    <w:basedOn w:val="DefaultParagraphFont"/>
    <w:uiPriority w:val="99"/>
    <w:semiHidden/>
    <w:unhideWhenUsed/>
    <w:rsid w:val="00402108"/>
    <w:rPr>
      <w:sz w:val="16"/>
      <w:szCs w:val="16"/>
    </w:rPr>
  </w:style>
  <w:style w:type="paragraph" w:styleId="CommentText">
    <w:name w:val="annotation text"/>
    <w:basedOn w:val="Normal"/>
    <w:link w:val="CommentTextChar"/>
    <w:uiPriority w:val="99"/>
    <w:semiHidden/>
    <w:unhideWhenUsed/>
    <w:rsid w:val="00402108"/>
    <w:rPr>
      <w:sz w:val="20"/>
      <w:szCs w:val="20"/>
    </w:rPr>
  </w:style>
  <w:style w:type="character" w:customStyle="1" w:styleId="CommentTextChar">
    <w:name w:val="Comment Text Char"/>
    <w:basedOn w:val="DefaultParagraphFont"/>
    <w:link w:val="CommentText"/>
    <w:uiPriority w:val="99"/>
    <w:semiHidden/>
    <w:rsid w:val="00402108"/>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02108"/>
    <w:rPr>
      <w:b/>
      <w:bCs/>
    </w:rPr>
  </w:style>
  <w:style w:type="character" w:customStyle="1" w:styleId="CommentSubjectChar">
    <w:name w:val="Comment Subject Char"/>
    <w:basedOn w:val="CommentTextChar"/>
    <w:link w:val="CommentSubject"/>
    <w:uiPriority w:val="99"/>
    <w:semiHidden/>
    <w:rsid w:val="00402108"/>
    <w:rPr>
      <w:rFonts w:ascii="Times New Roman" w:hAnsi="Times New Roman" w:cs="Times New Roman"/>
      <w:b/>
      <w:bCs/>
      <w:sz w:val="20"/>
      <w:szCs w:val="20"/>
      <w:lang w:eastAsia="en-GB"/>
    </w:rPr>
  </w:style>
  <w:style w:type="character" w:styleId="Hyperlink">
    <w:name w:val="Hyperlink"/>
    <w:basedOn w:val="DefaultParagraphFont"/>
    <w:uiPriority w:val="99"/>
    <w:unhideWhenUsed/>
    <w:rsid w:val="001563D7"/>
    <w:rPr>
      <w:color w:val="0000FF" w:themeColor="hyperlink"/>
      <w:u w:val="single"/>
    </w:rPr>
  </w:style>
  <w:style w:type="paragraph" w:customStyle="1" w:styleId="Default">
    <w:name w:val="Default"/>
    <w:rsid w:val="008C5F3D"/>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NormalWeb">
    <w:name w:val="Normal (Web)"/>
    <w:basedOn w:val="Normal"/>
    <w:uiPriority w:val="99"/>
    <w:unhideWhenUsed/>
    <w:rsid w:val="00E91978"/>
    <w:pPr>
      <w:spacing w:before="100" w:beforeAutospacing="1" w:after="100" w:afterAutospacing="1"/>
    </w:pPr>
  </w:style>
  <w:style w:type="paragraph" w:styleId="Caption">
    <w:name w:val="caption"/>
    <w:basedOn w:val="Normal"/>
    <w:next w:val="Normal"/>
    <w:uiPriority w:val="35"/>
    <w:unhideWhenUsed/>
    <w:qFormat/>
    <w:rsid w:val="00696297"/>
    <w:pPr>
      <w:spacing w:after="200"/>
    </w:pPr>
    <w:rPr>
      <w:rFonts w:eastAsia="Times New Roman"/>
      <w:i/>
      <w:iCs/>
      <w:color w:val="1F497D" w:themeColor="text2"/>
      <w:sz w:val="18"/>
      <w:szCs w:val="18"/>
    </w:rPr>
  </w:style>
  <w:style w:type="table" w:customStyle="1" w:styleId="TableGrid1">
    <w:name w:val="Table Grid1"/>
    <w:basedOn w:val="TableNormal"/>
    <w:next w:val="TableGrid"/>
    <w:uiPriority w:val="39"/>
    <w:rsid w:val="00E55E2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03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21542">
      <w:bodyDiv w:val="1"/>
      <w:marLeft w:val="0"/>
      <w:marRight w:val="0"/>
      <w:marTop w:val="0"/>
      <w:marBottom w:val="0"/>
      <w:divBdr>
        <w:top w:val="none" w:sz="0" w:space="0" w:color="auto"/>
        <w:left w:val="none" w:sz="0" w:space="0" w:color="auto"/>
        <w:bottom w:val="none" w:sz="0" w:space="0" w:color="auto"/>
        <w:right w:val="none" w:sz="0" w:space="0" w:color="auto"/>
      </w:divBdr>
    </w:div>
    <w:div w:id="757335721">
      <w:bodyDiv w:val="1"/>
      <w:marLeft w:val="0"/>
      <w:marRight w:val="0"/>
      <w:marTop w:val="0"/>
      <w:marBottom w:val="0"/>
      <w:divBdr>
        <w:top w:val="none" w:sz="0" w:space="0" w:color="auto"/>
        <w:left w:val="none" w:sz="0" w:space="0" w:color="auto"/>
        <w:bottom w:val="none" w:sz="0" w:space="0" w:color="auto"/>
        <w:right w:val="none" w:sz="0" w:space="0" w:color="auto"/>
      </w:divBdr>
    </w:div>
    <w:div w:id="1063332632">
      <w:bodyDiv w:val="1"/>
      <w:marLeft w:val="0"/>
      <w:marRight w:val="0"/>
      <w:marTop w:val="0"/>
      <w:marBottom w:val="0"/>
      <w:divBdr>
        <w:top w:val="none" w:sz="0" w:space="0" w:color="auto"/>
        <w:left w:val="none" w:sz="0" w:space="0" w:color="auto"/>
        <w:bottom w:val="none" w:sz="0" w:space="0" w:color="auto"/>
        <w:right w:val="none" w:sz="0" w:space="0" w:color="auto"/>
      </w:divBdr>
    </w:div>
    <w:div w:id="1171725913">
      <w:bodyDiv w:val="1"/>
      <w:marLeft w:val="0"/>
      <w:marRight w:val="0"/>
      <w:marTop w:val="0"/>
      <w:marBottom w:val="0"/>
      <w:divBdr>
        <w:top w:val="none" w:sz="0" w:space="0" w:color="auto"/>
        <w:left w:val="none" w:sz="0" w:space="0" w:color="auto"/>
        <w:bottom w:val="none" w:sz="0" w:space="0" w:color="auto"/>
        <w:right w:val="none" w:sz="0" w:space="0" w:color="auto"/>
      </w:divBdr>
    </w:div>
    <w:div w:id="1370379243">
      <w:bodyDiv w:val="1"/>
      <w:marLeft w:val="0"/>
      <w:marRight w:val="0"/>
      <w:marTop w:val="0"/>
      <w:marBottom w:val="0"/>
      <w:divBdr>
        <w:top w:val="none" w:sz="0" w:space="0" w:color="auto"/>
        <w:left w:val="none" w:sz="0" w:space="0" w:color="auto"/>
        <w:bottom w:val="none" w:sz="0" w:space="0" w:color="auto"/>
        <w:right w:val="none" w:sz="0" w:space="0" w:color="auto"/>
      </w:divBdr>
    </w:div>
    <w:div w:id="1607419794">
      <w:bodyDiv w:val="1"/>
      <w:marLeft w:val="0"/>
      <w:marRight w:val="0"/>
      <w:marTop w:val="0"/>
      <w:marBottom w:val="0"/>
      <w:divBdr>
        <w:top w:val="none" w:sz="0" w:space="0" w:color="auto"/>
        <w:left w:val="none" w:sz="0" w:space="0" w:color="auto"/>
        <w:bottom w:val="none" w:sz="0" w:space="0" w:color="auto"/>
        <w:right w:val="none" w:sz="0" w:space="0" w:color="auto"/>
      </w:divBdr>
    </w:div>
    <w:div w:id="201020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7A15B1-45D9-45A0-8B6B-0C5A2B09E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9A56F810</Template>
  <TotalTime>1</TotalTime>
  <Pages>4</Pages>
  <Words>1641</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Rathbone Brothers plc</Company>
  <LinksUpToDate>false</LinksUpToDate>
  <CharactersWithSpaces>10980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mberry</dc:creator>
  <cp:lastModifiedBy>Sophie Bennion</cp:lastModifiedBy>
  <cp:revision>2</cp:revision>
  <cp:lastPrinted>2019-12-20T10:26:00Z</cp:lastPrinted>
  <dcterms:created xsi:type="dcterms:W3CDTF">2020-04-30T10:42:00Z</dcterms:created>
  <dcterms:modified xsi:type="dcterms:W3CDTF">2020-04-30T10:42:00Z</dcterms:modified>
</cp:coreProperties>
</file>